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52D3" w14:textId="63197BFB" w:rsidR="003A7B23" w:rsidRDefault="008F742D" w:rsidP="003A7B23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180D19C" wp14:editId="4331A87C">
            <wp:extent cx="6648450" cy="800100"/>
            <wp:effectExtent l="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60FE9" w14:textId="77777777" w:rsidR="00284DBA" w:rsidRDefault="00284DBA" w:rsidP="00284DBA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  <w:sz w:val="20"/>
          <w:szCs w:val="20"/>
          <w:lang w:eastAsia="it-IT"/>
        </w:rPr>
      </w:pPr>
    </w:p>
    <w:p w14:paraId="5882FA02" w14:textId="768A585A" w:rsidR="00861376" w:rsidRPr="00861376" w:rsidRDefault="00861376" w:rsidP="00861376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it-IT"/>
        </w:rPr>
      </w:pPr>
      <w:r w:rsidRPr="00861376">
        <w:rPr>
          <w:rFonts w:cstheme="minorHAnsi"/>
          <w:b/>
          <w:bCs/>
          <w:sz w:val="20"/>
          <w:szCs w:val="20"/>
          <w:lang w:eastAsia="it-IT"/>
        </w:rPr>
        <w:t xml:space="preserve">Piano di Attuazione Regionale </w:t>
      </w:r>
      <w:r w:rsidR="00893739" w:rsidRPr="00893739">
        <w:rPr>
          <w:rFonts w:cstheme="minorHAnsi"/>
          <w:b/>
          <w:bCs/>
          <w:sz w:val="20"/>
          <w:szCs w:val="20"/>
          <w:lang w:eastAsia="it-IT"/>
        </w:rPr>
        <w:t>del Programma nazionale per la garanzia di occupabilità dei lavoratori (GOL)</w:t>
      </w:r>
    </w:p>
    <w:p w14:paraId="430B0F10" w14:textId="504BD03B" w:rsidR="00DF65CF" w:rsidRDefault="00893739" w:rsidP="00861376">
      <w:pPr>
        <w:pStyle w:val="Paragrafoelenco"/>
        <w:spacing w:after="0" w:line="240" w:lineRule="auto"/>
        <w:ind w:left="0"/>
        <w:jc w:val="center"/>
        <w:rPr>
          <w:rFonts w:eastAsia="Calibri" w:cstheme="minorHAnsi"/>
          <w:b/>
          <w:bCs/>
          <w:sz w:val="20"/>
          <w:szCs w:val="20"/>
          <w:lang w:eastAsia="it-IT"/>
        </w:rPr>
      </w:pPr>
      <w:r>
        <w:rPr>
          <w:rFonts w:eastAsia="Calibri" w:cstheme="minorHAnsi"/>
          <w:b/>
          <w:bCs/>
          <w:sz w:val="20"/>
          <w:szCs w:val="20"/>
          <w:lang w:eastAsia="it-IT"/>
        </w:rPr>
        <w:t xml:space="preserve">Delibera </w:t>
      </w:r>
      <w:r w:rsidR="00861376">
        <w:rPr>
          <w:rFonts w:eastAsia="Calibri" w:cstheme="minorHAnsi"/>
          <w:b/>
          <w:bCs/>
          <w:sz w:val="20"/>
          <w:szCs w:val="20"/>
          <w:lang w:eastAsia="it-IT"/>
        </w:rPr>
        <w:t>n. 81 del 10/05/2022</w:t>
      </w:r>
    </w:p>
    <w:p w14:paraId="10CB0B73" w14:textId="77777777" w:rsidR="00C86F5D" w:rsidRPr="00DF65CF" w:rsidRDefault="00C86F5D" w:rsidP="00861376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dotted" w:sz="4" w:space="0" w:color="4472C4" w:themeColor="accent1"/>
          <w:left w:val="dotted" w:sz="4" w:space="0" w:color="4472C4" w:themeColor="accent1"/>
          <w:bottom w:val="dotted" w:sz="4" w:space="0" w:color="4472C4" w:themeColor="accent1"/>
          <w:right w:val="dotted" w:sz="4" w:space="0" w:color="4472C4" w:themeColor="accent1"/>
          <w:insideH w:val="dotted" w:sz="4" w:space="0" w:color="4472C4" w:themeColor="accent1"/>
          <w:insideV w:val="dotted" w:sz="4" w:space="0" w:color="4472C4" w:themeColor="accent1"/>
        </w:tblBorders>
        <w:tblLook w:val="04A0" w:firstRow="1" w:lastRow="0" w:firstColumn="1" w:lastColumn="0" w:noHBand="0" w:noVBand="1"/>
      </w:tblPr>
      <w:tblGrid>
        <w:gridCol w:w="1555"/>
        <w:gridCol w:w="8865"/>
      </w:tblGrid>
      <w:tr w:rsidR="003A7B23" w14:paraId="21F0D006" w14:textId="77777777" w:rsidTr="006B2241">
        <w:tc>
          <w:tcPr>
            <w:tcW w:w="1555" w:type="dxa"/>
            <w:hideMark/>
          </w:tcPr>
          <w:p w14:paraId="6A56453F" w14:textId="77777777" w:rsidR="00A17E8D" w:rsidRDefault="00A17E8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</w:p>
          <w:p w14:paraId="6E1243C3" w14:textId="59FA1721" w:rsidR="003A7B23" w:rsidRDefault="003A7B2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  <w:r>
              <w:rPr>
                <w:rFonts w:cs="Times-Bold"/>
                <w:b/>
                <w:bCs/>
                <w:color w:val="2F5496"/>
              </w:rPr>
              <w:t>Finalità</w:t>
            </w:r>
          </w:p>
        </w:tc>
        <w:tc>
          <w:tcPr>
            <w:tcW w:w="8865" w:type="dxa"/>
            <w:hideMark/>
          </w:tcPr>
          <w:p w14:paraId="4DBE8B3F" w14:textId="67E78B57" w:rsidR="003A7B23" w:rsidRPr="000E7B0C" w:rsidRDefault="00DF65CF" w:rsidP="00CB3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DF65CF">
              <w:rPr>
                <w:rFonts w:asciiTheme="minorHAnsi" w:eastAsiaTheme="minorHAnsi" w:hAnsiTheme="minorHAnsi" w:cstheme="minorBidi"/>
              </w:rPr>
              <w:t>A </w:t>
            </w:r>
            <w:r w:rsidR="002667B8">
              <w:rPr>
                <w:rFonts w:asciiTheme="minorHAnsi" w:eastAsiaTheme="minorHAnsi" w:hAnsiTheme="minorHAnsi" w:cstheme="minorBidi"/>
              </w:rPr>
              <w:t>luglio</w:t>
            </w:r>
            <w:r w:rsidRPr="00D95BF8">
              <w:rPr>
                <w:rFonts w:asciiTheme="minorHAnsi" w:eastAsiaTheme="minorHAnsi" w:hAnsiTheme="minorHAnsi" w:cstheme="minorBidi"/>
              </w:rPr>
              <w:t xml:space="preserve"> </w:t>
            </w:r>
            <w:r w:rsidR="002667B8">
              <w:rPr>
                <w:rFonts w:asciiTheme="minorHAnsi" w:eastAsiaTheme="minorHAnsi" w:hAnsiTheme="minorHAnsi" w:cstheme="minorBidi"/>
              </w:rPr>
              <w:t>2022</w:t>
            </w:r>
            <w:r w:rsidRPr="00D95BF8">
              <w:rPr>
                <w:rFonts w:asciiTheme="minorHAnsi" w:eastAsiaTheme="minorHAnsi" w:hAnsiTheme="minorHAnsi" w:cstheme="minorBidi"/>
              </w:rPr>
              <w:t xml:space="preserve"> prende il via </w:t>
            </w:r>
            <w:r w:rsidR="000E7B0C">
              <w:rPr>
                <w:rFonts w:asciiTheme="minorHAnsi" w:eastAsiaTheme="minorHAnsi" w:hAnsiTheme="minorHAnsi" w:cstheme="minorBidi"/>
              </w:rPr>
              <w:t xml:space="preserve">programma </w:t>
            </w:r>
            <w:r w:rsidR="000E7B0C" w:rsidRPr="000E7B0C">
              <w:rPr>
                <w:rFonts w:asciiTheme="minorHAnsi" w:eastAsiaTheme="minorHAnsi" w:hAnsiTheme="minorHAnsi" w:cstheme="minorBidi"/>
                <w:b/>
                <w:color w:val="2F5496" w:themeColor="accent1" w:themeShade="BF"/>
              </w:rPr>
              <w:t>GOL - Garanzia Occupabilità Lavoratori</w:t>
            </w:r>
            <w:r w:rsidRPr="00D95BF8">
              <w:rPr>
                <w:rFonts w:cs="Times-Bold"/>
                <w:b/>
                <w:bCs/>
                <w:color w:val="2F5496"/>
              </w:rPr>
              <w:t>,</w:t>
            </w:r>
            <w:r w:rsidRPr="00D95BF8">
              <w:rPr>
                <w:rFonts w:asciiTheme="minorHAnsi" w:eastAsiaTheme="minorHAnsi" w:hAnsiTheme="minorHAnsi" w:cstheme="minorBidi"/>
              </w:rPr>
              <w:t xml:space="preserve"> il cui obiettivo è accompagnare </w:t>
            </w:r>
            <w:r w:rsidR="000E7B0C">
              <w:rPr>
                <w:rFonts w:asciiTheme="minorHAnsi" w:eastAsiaTheme="minorHAnsi" w:hAnsiTheme="minorHAnsi" w:cstheme="minorBidi"/>
              </w:rPr>
              <w:t xml:space="preserve">le persone </w:t>
            </w:r>
            <w:r w:rsidR="00CB3817">
              <w:rPr>
                <w:rFonts w:asciiTheme="minorHAnsi" w:eastAsiaTheme="minorHAnsi" w:hAnsiTheme="minorHAnsi" w:cstheme="minorBidi"/>
              </w:rPr>
              <w:t>nella</w:t>
            </w:r>
            <w:r w:rsidR="000E7B0C">
              <w:rPr>
                <w:rFonts w:asciiTheme="minorHAnsi" w:eastAsiaTheme="minorHAnsi" w:hAnsiTheme="minorHAnsi" w:cstheme="minorBidi"/>
              </w:rPr>
              <w:t xml:space="preserve"> ricerca del </w:t>
            </w:r>
            <w:r w:rsidR="000E7B0C" w:rsidRPr="000E7B0C">
              <w:rPr>
                <w:rFonts w:asciiTheme="minorHAnsi" w:eastAsiaTheme="minorHAnsi" w:hAnsiTheme="minorHAnsi" w:cstheme="minorBidi"/>
              </w:rPr>
              <w:t>lavoro e</w:t>
            </w:r>
            <w:r w:rsidR="000E7B0C">
              <w:rPr>
                <w:rFonts w:asciiTheme="minorHAnsi" w:eastAsiaTheme="minorHAnsi" w:hAnsiTheme="minorHAnsi" w:cstheme="minorBidi"/>
              </w:rPr>
              <w:t xml:space="preserve"> prevede strumenti e misure per </w:t>
            </w:r>
            <w:r w:rsidR="000E7B0C" w:rsidRPr="000E7B0C">
              <w:rPr>
                <w:rFonts w:asciiTheme="minorHAnsi" w:eastAsiaTheme="minorHAnsi" w:hAnsiTheme="minorHAnsi" w:cstheme="minorBidi"/>
              </w:rPr>
              <w:t>favorire il loro inserimento/r</w:t>
            </w:r>
            <w:r w:rsidR="000E7B0C">
              <w:rPr>
                <w:rFonts w:asciiTheme="minorHAnsi" w:eastAsiaTheme="minorHAnsi" w:hAnsiTheme="minorHAnsi" w:cstheme="minorBidi"/>
              </w:rPr>
              <w:t xml:space="preserve">einserimento </w:t>
            </w:r>
            <w:r w:rsidR="000E7B0C" w:rsidRPr="000E7B0C">
              <w:rPr>
                <w:rFonts w:asciiTheme="minorHAnsi" w:eastAsiaTheme="minorHAnsi" w:hAnsiTheme="minorHAnsi" w:cstheme="minorBidi"/>
              </w:rPr>
              <w:t>lavorativo</w:t>
            </w:r>
            <w:r w:rsidR="000E7B0C">
              <w:rPr>
                <w:rFonts w:asciiTheme="minorHAnsi" w:eastAsiaTheme="minorHAnsi" w:hAnsiTheme="minorHAnsi" w:cstheme="minorBidi"/>
              </w:rPr>
              <w:t xml:space="preserve"> oppure per avviare percorsi di </w:t>
            </w:r>
            <w:r w:rsidR="000E7B0C" w:rsidRPr="000E7B0C">
              <w:rPr>
                <w:rFonts w:asciiTheme="minorHAnsi" w:eastAsiaTheme="minorHAnsi" w:hAnsiTheme="minorHAnsi" w:cstheme="minorBidi"/>
              </w:rPr>
              <w:t>riqualificazione</w:t>
            </w:r>
            <w:r w:rsidRPr="00D95BF8">
              <w:rPr>
                <w:rFonts w:asciiTheme="minorHAnsi" w:eastAsiaTheme="minorHAnsi" w:hAnsiTheme="minorHAnsi" w:cstheme="minorBidi"/>
              </w:rPr>
              <w:t>, attraverso una serie di misure erogate dalla </w:t>
            </w:r>
            <w:hyperlink r:id="rId9" w:tgtFrame="_blank" w:history="1">
              <w:r w:rsidRPr="00D95BF8">
                <w:rPr>
                  <w:rFonts w:asciiTheme="minorHAnsi" w:eastAsiaTheme="minorHAnsi" w:hAnsiTheme="minorHAnsi" w:cstheme="minorBidi"/>
                </w:rPr>
                <w:t>Rete Attiva per il Lavoro</w:t>
              </w:r>
            </w:hyperlink>
            <w:r w:rsidRPr="00D95BF8">
              <w:rPr>
                <w:rFonts w:asciiTheme="minorHAnsi" w:eastAsiaTheme="minorHAnsi" w:hAnsiTheme="minorHAnsi" w:cstheme="minorBidi"/>
              </w:rPr>
              <w:t xml:space="preserve">. Il nuovo programma si inserisce </w:t>
            </w:r>
            <w:r w:rsidR="00253BFB" w:rsidRPr="00253BFB">
              <w:rPr>
                <w:rFonts w:asciiTheme="minorHAnsi" w:eastAsiaTheme="minorHAnsi" w:hAnsiTheme="minorHAnsi" w:cstheme="minorBidi"/>
              </w:rPr>
              <w:t>nell’ambito</w:t>
            </w:r>
            <w:r w:rsidR="00253BFB">
              <w:rPr>
                <w:rFonts w:asciiTheme="minorHAnsi" w:eastAsiaTheme="minorHAnsi" w:hAnsiTheme="minorHAnsi" w:cstheme="minorBidi"/>
              </w:rPr>
              <w:t xml:space="preserve"> della Missione 5, Componente 1 de</w:t>
            </w:r>
            <w:r w:rsidR="000E7B0C" w:rsidRPr="000E7B0C">
              <w:rPr>
                <w:rFonts w:asciiTheme="minorHAnsi" w:eastAsiaTheme="minorHAnsi" w:hAnsiTheme="minorHAnsi" w:cstheme="minorBidi"/>
              </w:rPr>
              <w:t>l PNRR -Piano nazionale di ripresa e resilienza dell’Italia</w:t>
            </w:r>
            <w:r w:rsidR="000E7B0C">
              <w:rPr>
                <w:rFonts w:asciiTheme="minorHAnsi" w:eastAsiaTheme="minorHAnsi" w:hAnsiTheme="minorHAnsi" w:cstheme="minorBidi"/>
              </w:rPr>
              <w:t>.</w:t>
            </w:r>
          </w:p>
        </w:tc>
      </w:tr>
      <w:tr w:rsidR="003A7B23" w14:paraId="2ED2CD44" w14:textId="77777777" w:rsidTr="006B2241">
        <w:tc>
          <w:tcPr>
            <w:tcW w:w="1555" w:type="dxa"/>
            <w:hideMark/>
          </w:tcPr>
          <w:p w14:paraId="6DFB7CEF" w14:textId="77777777" w:rsidR="00A17E8D" w:rsidRDefault="00A17E8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</w:p>
          <w:p w14:paraId="41DEDDBD" w14:textId="77777777" w:rsidR="00A17E8D" w:rsidRDefault="00A17E8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</w:p>
          <w:p w14:paraId="3962A571" w14:textId="77777777" w:rsidR="00A17E8D" w:rsidRDefault="00A17E8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</w:p>
          <w:p w14:paraId="2B9E1D43" w14:textId="77777777" w:rsidR="00D95BF8" w:rsidRDefault="00D95BF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</w:p>
          <w:p w14:paraId="71F33B9C" w14:textId="77777777" w:rsidR="00D95BF8" w:rsidRDefault="00D95BF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</w:p>
          <w:p w14:paraId="6B9B283A" w14:textId="77777777" w:rsidR="00D95BF8" w:rsidRDefault="00D95BF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</w:p>
          <w:p w14:paraId="2E692B61" w14:textId="1B42C563" w:rsidR="003A7B23" w:rsidRDefault="003A7B2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  <w:r>
              <w:rPr>
                <w:rFonts w:cs="Times-Bold"/>
                <w:b/>
                <w:bCs/>
                <w:color w:val="2F5496"/>
              </w:rPr>
              <w:t>Chi può partecipare?</w:t>
            </w:r>
          </w:p>
        </w:tc>
        <w:tc>
          <w:tcPr>
            <w:tcW w:w="8865" w:type="dxa"/>
            <w:hideMark/>
          </w:tcPr>
          <w:p w14:paraId="38D968BD" w14:textId="77777777" w:rsidR="00CB3817" w:rsidRDefault="00CB3817" w:rsidP="002A0CAF">
            <w:pPr>
              <w:spacing w:after="0" w:line="240" w:lineRule="auto"/>
              <w:jc w:val="both"/>
            </w:pPr>
          </w:p>
          <w:p w14:paraId="5BF56A6B" w14:textId="62632EBA" w:rsidR="002A0CAF" w:rsidRPr="002A0CAF" w:rsidRDefault="002A0CAF" w:rsidP="002A0CAF">
            <w:pPr>
              <w:spacing w:after="0" w:line="240" w:lineRule="auto"/>
              <w:jc w:val="both"/>
            </w:pPr>
            <w:r>
              <w:t xml:space="preserve">I destinatari del programma, </w:t>
            </w:r>
            <w:r w:rsidRPr="002A0CAF">
              <w:t>individuati dalla Regione Emilia-Romagna</w:t>
            </w:r>
            <w:r>
              <w:t>,</w:t>
            </w:r>
            <w:r w:rsidRPr="002A0CAF">
              <w:t xml:space="preserve"> sono</w:t>
            </w:r>
            <w:r>
              <w:t>:</w:t>
            </w:r>
          </w:p>
          <w:p w14:paraId="71007C16" w14:textId="1204916E" w:rsidR="002A0CAF" w:rsidRDefault="002A0CAF" w:rsidP="002A0CA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Disoccupati percettori di NASPI e di DIS-COLL;</w:t>
            </w:r>
          </w:p>
          <w:p w14:paraId="3AA54371" w14:textId="544BE61A" w:rsidR="002A0CAF" w:rsidRDefault="002A0CAF" w:rsidP="002A0CA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Percettori del reddito di cittadinanza;</w:t>
            </w:r>
          </w:p>
          <w:p w14:paraId="71190BCE" w14:textId="72D1426C" w:rsidR="002A0CAF" w:rsidRDefault="002A0CAF" w:rsidP="002A0CA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Giovani</w:t>
            </w:r>
            <w:r w:rsidR="00370B09">
              <w:t xml:space="preserve"> (meno di 30 anni)</w:t>
            </w:r>
            <w:r>
              <w:t>;</w:t>
            </w:r>
          </w:p>
          <w:p w14:paraId="68E6E228" w14:textId="69194992" w:rsidR="002A0CAF" w:rsidRDefault="002A0CAF" w:rsidP="002A0CA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Donne</w:t>
            </w:r>
            <w:r w:rsidR="00370B09">
              <w:t xml:space="preserve"> in condizioni di svantaggio</w:t>
            </w:r>
            <w:r>
              <w:t>;</w:t>
            </w:r>
          </w:p>
          <w:p w14:paraId="7C7F1057" w14:textId="59A47418" w:rsidR="002A0CAF" w:rsidRDefault="002A0CAF" w:rsidP="002A0CA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Persone con disabilità</w:t>
            </w:r>
          </w:p>
          <w:p w14:paraId="31A2C474" w14:textId="15069C7B" w:rsidR="002A0CAF" w:rsidRDefault="002A0CAF" w:rsidP="002A0CA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Lavoratori maturi (55 anni e oltre);</w:t>
            </w:r>
          </w:p>
          <w:p w14:paraId="4C5770E1" w14:textId="5C940383" w:rsidR="002A0CAF" w:rsidRDefault="002A0CAF" w:rsidP="002A0CA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Disoccupati di lunga durata (in cerca di occupazione da almeno sei mesi);</w:t>
            </w:r>
          </w:p>
          <w:p w14:paraId="5192404E" w14:textId="3557A46A" w:rsidR="002A0CAF" w:rsidRDefault="002A0CAF" w:rsidP="002A0CA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Lavoratori autonomi che cessano l’attività o con redditi molto bassi;</w:t>
            </w:r>
          </w:p>
          <w:p w14:paraId="72B9BEA2" w14:textId="0793F63A" w:rsidR="002A0CAF" w:rsidRDefault="00370B09" w:rsidP="00370B0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Working poor</w:t>
            </w:r>
            <w:r w:rsidR="00CB3817">
              <w:t>,</w:t>
            </w:r>
            <w:r>
              <w:t xml:space="preserve"> cioè i lavoratori il cui reddito da lavoro dipendente o autonomo sia inferiore alla soglia dell’incapienza secondo la disciplina fiscale;</w:t>
            </w:r>
          </w:p>
          <w:p w14:paraId="3B7E387D" w14:textId="2A402A56" w:rsidR="002A0CAF" w:rsidRDefault="002A0CAF" w:rsidP="002A0CAF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Beneficiari di ammortizzatori sociali in costanza di rapporto di lavoro.</w:t>
            </w:r>
          </w:p>
          <w:p w14:paraId="51E07047" w14:textId="77777777" w:rsidR="002A0CAF" w:rsidRDefault="002A0CAF" w:rsidP="002A0CAF">
            <w:pPr>
              <w:spacing w:after="0" w:line="240" w:lineRule="auto"/>
              <w:ind w:left="360"/>
              <w:jc w:val="both"/>
            </w:pPr>
          </w:p>
          <w:p w14:paraId="593CA244" w14:textId="77777777" w:rsidR="001F6D4C" w:rsidRDefault="00DF65CF" w:rsidP="00253BFB">
            <w:pPr>
              <w:spacing w:after="0" w:line="240" w:lineRule="auto"/>
              <w:jc w:val="both"/>
            </w:pPr>
            <w:r>
              <w:t xml:space="preserve">Si specifica che nel caso in cui il </w:t>
            </w:r>
            <w:r w:rsidR="00253BFB">
              <w:t>beneficiario</w:t>
            </w:r>
            <w:r>
              <w:t xml:space="preserve"> sia già destinatario e impegnato nella attuazione di un programma costituito da prestazioni per il lavoro a valere su altre risorse pubbliche, se intende essere beneficiario delle misure previste dal Programma </w:t>
            </w:r>
            <w:r w:rsidR="00253BFB">
              <w:t>GOL</w:t>
            </w:r>
            <w:r>
              <w:t xml:space="preserve"> dovrà precedentemente chiudere il programma sottoscritto in precedenza e pertanto comunicare formalmente al Soggetto accreditato la rinuncia o interruzione della misura del precedente programma sottoscritto</w:t>
            </w:r>
            <w:r w:rsidR="00D95BF8">
              <w:t>.</w:t>
            </w:r>
          </w:p>
          <w:p w14:paraId="13B200BB" w14:textId="518E4011" w:rsidR="00253BFB" w:rsidRPr="00D95BF8" w:rsidRDefault="00253BFB" w:rsidP="00253BFB">
            <w:pPr>
              <w:spacing w:after="0" w:line="240" w:lineRule="auto"/>
              <w:jc w:val="both"/>
            </w:pPr>
          </w:p>
        </w:tc>
      </w:tr>
      <w:tr w:rsidR="00EF6B7B" w14:paraId="1F63FF74" w14:textId="77777777" w:rsidTr="006B2241">
        <w:tc>
          <w:tcPr>
            <w:tcW w:w="1555" w:type="dxa"/>
          </w:tcPr>
          <w:p w14:paraId="5B463068" w14:textId="77777777" w:rsidR="00A17E8D" w:rsidRDefault="00A17E8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</w:p>
          <w:p w14:paraId="7C4D1C97" w14:textId="77777777" w:rsidR="00A17E8D" w:rsidRDefault="00A17E8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</w:p>
          <w:p w14:paraId="2C11C60F" w14:textId="2EBBF906" w:rsidR="00EF6B7B" w:rsidRDefault="00EF6B7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  <w:r>
              <w:rPr>
                <w:rFonts w:cs="Times-Bold"/>
                <w:b/>
                <w:bCs/>
                <w:color w:val="2F5496"/>
              </w:rPr>
              <w:t>Come partecipare?</w:t>
            </w:r>
          </w:p>
        </w:tc>
        <w:tc>
          <w:tcPr>
            <w:tcW w:w="8865" w:type="dxa"/>
          </w:tcPr>
          <w:p w14:paraId="0588449E" w14:textId="77777777" w:rsidR="00683DDA" w:rsidRDefault="00683DDA" w:rsidP="00253BF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44311516" w14:textId="77777777" w:rsidR="00A072ED" w:rsidRDefault="00D95BF8" w:rsidP="00A072E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Per aderire al Programma </w:t>
            </w:r>
            <w:r w:rsidR="00683DDA">
              <w:t>GOL</w:t>
            </w:r>
            <w:r>
              <w:t xml:space="preserve"> e usufruire delle misure previste dal Programma stesso, </w:t>
            </w:r>
            <w:r w:rsidR="00683DDA">
              <w:t>gli utenti</w:t>
            </w:r>
            <w:r>
              <w:t xml:space="preserve"> possono accedere alle opportunità iscrivendosi al portale regionale </w:t>
            </w:r>
            <w:hyperlink r:id="rId10" w:history="1">
              <w:r w:rsidRPr="00D95BF8">
                <w:rPr>
                  <w:rStyle w:val="Collegamentoipertestuale"/>
                </w:rPr>
                <w:t>Lavoro per Te</w:t>
              </w:r>
            </w:hyperlink>
            <w:r w:rsidR="00683DDA">
              <w:t xml:space="preserve"> e fissando un appuntamento con il centro per l’impiego. Difatti, l</w:t>
            </w:r>
            <w:r w:rsidR="00683DDA" w:rsidRPr="00683DDA">
              <w:t>a verifica dei requisiti dei beneficiari ai fini dell’accesso al Programma resta nella responsabilità dei Centri per l’Impiego unitamente all’Assessment</w:t>
            </w:r>
            <w:r w:rsidR="00E46E51">
              <w:t>,</w:t>
            </w:r>
            <w:r w:rsidR="00683DDA" w:rsidRPr="00683DDA">
              <w:t xml:space="preserve"> ovvero al percorso che porta alla profilazione con parametri qualitativi e quantitativi del livello d</w:t>
            </w:r>
            <w:r w:rsidR="00E46E51">
              <w:t>i occupabilità dei beneficiari e</w:t>
            </w:r>
            <w:r w:rsidR="00683DDA" w:rsidRPr="00683DDA">
              <w:t xml:space="preserve"> alla sottoscrizione del Patto di servizio personalizzato.  </w:t>
            </w:r>
            <w:r w:rsidR="00A072ED">
              <w:t xml:space="preserve">E' previsto un colloquio approfondito di presa in carico, durante il quale l’operatore/operatrice del Centro per l’impiego ricostruisce con la persona il suo percorso professionale, analizza le sue competenze ed identifica eventuali fattori oggettivi o soggettivi che possono costituire elementi di fragilità. </w:t>
            </w:r>
          </w:p>
          <w:p w14:paraId="47CF13CC" w14:textId="2D57C0EC" w:rsidR="00A072ED" w:rsidRDefault="00A072ED" w:rsidP="00A072E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Al termine del colloquio, in base al profilo di occupabilità rilevato, la persona sarà indirizzata verso uno dei diversi percorsi previsti dal programma:</w:t>
            </w:r>
            <w:r w:rsidR="00CB3817">
              <w:t xml:space="preserve"> </w:t>
            </w:r>
          </w:p>
          <w:p w14:paraId="1A90D615" w14:textId="77777777" w:rsidR="00CB3817" w:rsidRDefault="00CB3817" w:rsidP="00A072E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85BE8D7" w14:textId="48382D01" w:rsidR="00CB3817" w:rsidRDefault="00CB3817" w:rsidP="00CB3817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Reinserimento occupazionale;</w:t>
            </w:r>
          </w:p>
          <w:p w14:paraId="4900403E" w14:textId="620BA280" w:rsidR="00CB3817" w:rsidRDefault="00CB3817" w:rsidP="00CB3817">
            <w:pPr>
              <w:pStyle w:val="Paragrafoelenco"/>
              <w:numPr>
                <w:ilvl w:val="0"/>
                <w:numId w:val="17"/>
              </w:numPr>
            </w:pPr>
            <w:r>
              <w:t>Aggiornamento (Upskilling);</w:t>
            </w:r>
          </w:p>
          <w:p w14:paraId="29AD76F2" w14:textId="07ACCB3C" w:rsidR="00CB3817" w:rsidRDefault="00CB3817" w:rsidP="00CB3817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Riqualificazione (Reskilling);</w:t>
            </w:r>
          </w:p>
          <w:p w14:paraId="7EB8F561" w14:textId="0FCF9775" w:rsidR="00CB3817" w:rsidRDefault="00CB3817" w:rsidP="00CB3817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Lavoro e inclusione;</w:t>
            </w:r>
          </w:p>
          <w:p w14:paraId="18AA97C8" w14:textId="476E2C99" w:rsidR="00CB3817" w:rsidRDefault="00CB3817" w:rsidP="00CB3817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Ricollocazione collettiva.</w:t>
            </w:r>
          </w:p>
          <w:p w14:paraId="40E80065" w14:textId="18293844" w:rsidR="00D95BF8" w:rsidRPr="006B2241" w:rsidRDefault="00D95BF8" w:rsidP="00A07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534533" w14:paraId="1E78137A" w14:textId="77777777" w:rsidTr="006B2241">
        <w:tc>
          <w:tcPr>
            <w:tcW w:w="1555" w:type="dxa"/>
          </w:tcPr>
          <w:p w14:paraId="20BDD4D4" w14:textId="413792BD" w:rsidR="00534533" w:rsidRDefault="0053453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  <w:r>
              <w:rPr>
                <w:rFonts w:cs="Times-Bold"/>
                <w:b/>
                <w:bCs/>
                <w:color w:val="2F5496"/>
              </w:rPr>
              <w:lastRenderedPageBreak/>
              <w:t>Scegliere il soggetto erogatore dei servizi</w:t>
            </w:r>
          </w:p>
        </w:tc>
        <w:tc>
          <w:tcPr>
            <w:tcW w:w="8865" w:type="dxa"/>
          </w:tcPr>
          <w:p w14:paraId="68B1BABA" w14:textId="77777777" w:rsidR="00CB3817" w:rsidRDefault="00CB3817" w:rsidP="00936E6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8F4927B" w14:textId="0D3FF566" w:rsidR="00534533" w:rsidRDefault="00D95BF8" w:rsidP="00936E6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Contestualmente alla definizione con il CPI del proprio programma contenuto n</w:t>
            </w:r>
            <w:r w:rsidR="00A072ED">
              <w:t xml:space="preserve">el proprio Patto di Servizio, i beneficiari </w:t>
            </w:r>
            <w:r>
              <w:t>potranno scegliere il Soggetto accreditato, responsabile dell’erogazione delle misure del Programma, nell’ambito di un apposito Elenco consultabile presso i Centri per l’Impiego e on line nel sito dell’</w:t>
            </w:r>
            <w:hyperlink r:id="rId11" w:history="1">
              <w:r w:rsidRPr="00D95BF8">
                <w:rPr>
                  <w:rStyle w:val="Collegamentoipertestuale"/>
                </w:rPr>
                <w:t>Agenzia Regionale per il Lavoro</w:t>
              </w:r>
            </w:hyperlink>
            <w:r>
              <w:t>.</w:t>
            </w:r>
          </w:p>
          <w:p w14:paraId="25ABCBE1" w14:textId="77777777" w:rsidR="00D95BF8" w:rsidRDefault="00D95BF8" w:rsidP="00A072E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Il giovane, presso il Centro per l’Impiego e contestualmente alla sottoscrizione del programma contenuto nel Patto di Servizio, dovrà fissare un primo appuntamento con </w:t>
            </w:r>
            <w:r w:rsidR="00A072ED">
              <w:t xml:space="preserve">il Soggetto </w:t>
            </w:r>
            <w:r w:rsidR="00CB3817">
              <w:t xml:space="preserve"> </w:t>
            </w:r>
            <w:r w:rsidR="00A072ED">
              <w:t>accreditato scelto.</w:t>
            </w:r>
          </w:p>
          <w:p w14:paraId="2D9A95F8" w14:textId="4682DED8" w:rsidR="00CB3817" w:rsidRPr="00CB3817" w:rsidRDefault="00CB3817" w:rsidP="00A072E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1943A1" w:rsidRPr="001943A1" w14:paraId="3D88177E" w14:textId="77777777" w:rsidTr="006B2241">
        <w:tc>
          <w:tcPr>
            <w:tcW w:w="1555" w:type="dxa"/>
            <w:hideMark/>
          </w:tcPr>
          <w:p w14:paraId="2D0BFDFB" w14:textId="77777777" w:rsidR="00D95BF8" w:rsidRPr="001943A1" w:rsidRDefault="00D95BF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 w:themeColor="accent1" w:themeShade="BF"/>
              </w:rPr>
            </w:pPr>
          </w:p>
          <w:p w14:paraId="1E79479B" w14:textId="005A8E26" w:rsidR="003A7B23" w:rsidRPr="001943A1" w:rsidRDefault="00A17E8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 w:themeColor="accent1" w:themeShade="BF"/>
              </w:rPr>
            </w:pPr>
            <w:r w:rsidRPr="001943A1">
              <w:rPr>
                <w:rFonts w:cs="Times-Bold"/>
                <w:b/>
                <w:bCs/>
                <w:color w:val="2F5496" w:themeColor="accent1" w:themeShade="BF"/>
              </w:rPr>
              <w:t xml:space="preserve">Quali </w:t>
            </w:r>
            <w:r w:rsidR="00EC2AFC" w:rsidRPr="001943A1">
              <w:rPr>
                <w:rFonts w:cs="Times-Bold"/>
                <w:b/>
                <w:bCs/>
                <w:color w:val="2F5496" w:themeColor="accent1" w:themeShade="BF"/>
              </w:rPr>
              <w:t>sono i servizi offerti?</w:t>
            </w:r>
          </w:p>
        </w:tc>
        <w:tc>
          <w:tcPr>
            <w:tcW w:w="8865" w:type="dxa"/>
            <w:hideMark/>
          </w:tcPr>
          <w:p w14:paraId="0C4153E5" w14:textId="77777777" w:rsidR="00CB3817" w:rsidRDefault="00CB3817" w:rsidP="00CB381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</w:pPr>
          </w:p>
          <w:p w14:paraId="18FD6517" w14:textId="07B26A53" w:rsidR="00776F55" w:rsidRDefault="00200E32" w:rsidP="00CB3817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Reinserimento occupazionale: si rivolge alle persone che sono in possesso di competenze spendibili nel mercato del lavoro locale per cui è necessario un intervento prevalentemente di orientamento, intermediazione </w:t>
            </w:r>
            <w:r w:rsidR="00997CB1">
              <w:t>e accompagnamento al lavoro;</w:t>
            </w:r>
          </w:p>
          <w:p w14:paraId="5D30F73F" w14:textId="62A5B9DB" w:rsidR="00200E32" w:rsidRDefault="00200E32" w:rsidP="00CB3817">
            <w:pPr>
              <w:pStyle w:val="Paragrafoelenco"/>
              <w:numPr>
                <w:ilvl w:val="0"/>
                <w:numId w:val="24"/>
              </w:numPr>
            </w:pPr>
            <w:r>
              <w:t>Aggiornamento (Upskilling): si rivolge alle persone che hanno bisogno di un aggiornamento delle proprie competenze, di breve durata, per essere facilitate nel percorso di reinseriment</w:t>
            </w:r>
            <w:r w:rsidR="006621A9">
              <w:t xml:space="preserve">o nel mercato del lavoro </w:t>
            </w:r>
            <w:r w:rsidR="00997CB1">
              <w:t>locale;</w:t>
            </w:r>
          </w:p>
          <w:p w14:paraId="3A8A01AE" w14:textId="36C98C60" w:rsidR="00200E32" w:rsidRDefault="00200E32" w:rsidP="00CB3817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Riqualificazione (Reskilling): si rivolge alle persone che necessitano di un percorso di riqualificazione professionale al fine di adeguare le proprie competenze alle nuove necessità che emergono nel contest</w:t>
            </w:r>
            <w:r w:rsidR="006621A9">
              <w:t xml:space="preserve">o del mercato del lavoro locale – il percorso prevede una formazione professionalizzante più approfondita, generalmente caratterizzata da un innalzamento del livello di qualificazione/EQF rispetto al </w:t>
            </w:r>
            <w:r w:rsidR="00997CB1">
              <w:t>livello di istruzione;</w:t>
            </w:r>
          </w:p>
          <w:p w14:paraId="5B6F4939" w14:textId="77777777" w:rsidR="00200E32" w:rsidRDefault="00200E32" w:rsidP="00CB3817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Lavoro e inclusione: si rivolge alle persone in condizione di fragilità/vulnerabilità caratterizzata dalla mancanza di lavoro e dalla presenza di ulteriori problematiche di tipo sociale o sanitario, oltre ai servizi precedenti prevede l’attivazione della rete dei servizi territoriali (sociali e/o sanitari).</w:t>
            </w:r>
          </w:p>
          <w:p w14:paraId="7DFDA5CF" w14:textId="005A7492" w:rsidR="001E19E1" w:rsidRDefault="001E19E1" w:rsidP="00CB3817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Ricollocazione collettiva: valutazione delle chances occupazionali sulla base della specifica situazione aziendale di crisi, della professionalità dei lavoratori coinvolti e del contesto territoriale di riferimento per individuare soluzioni idonee all’insieme dei lavoratori stessi.</w:t>
            </w:r>
          </w:p>
          <w:p w14:paraId="56CB7660" w14:textId="77777777" w:rsidR="004A5003" w:rsidRDefault="004A5003" w:rsidP="00997CB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7A2B4313" w14:textId="27485E17" w:rsidR="00997CB1" w:rsidRDefault="00997CB1" w:rsidP="00997CB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Per tutti i servizi offerti le attività che possono essere realizzate dal soggetto attuatore sono:</w:t>
            </w:r>
          </w:p>
          <w:p w14:paraId="68B91D72" w14:textId="77777777" w:rsidR="00997CB1" w:rsidRDefault="00997CB1" w:rsidP="00997CB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</w:pPr>
            <w:r>
              <w:t>a)</w:t>
            </w:r>
            <w:r>
              <w:tab/>
              <w:t>Orientamento specialistico;</w:t>
            </w:r>
          </w:p>
          <w:p w14:paraId="20AB8DD6" w14:textId="77777777" w:rsidR="00997CB1" w:rsidRDefault="00997CB1" w:rsidP="00997CB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</w:pPr>
            <w:r>
              <w:t>b)</w:t>
            </w:r>
            <w:r>
              <w:tab/>
              <w:t>Accompagnamento al lavoro;</w:t>
            </w:r>
          </w:p>
          <w:p w14:paraId="706D0209" w14:textId="77777777" w:rsidR="00997CB1" w:rsidRDefault="00997CB1" w:rsidP="00997CB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</w:pPr>
            <w:r>
              <w:t>c)</w:t>
            </w:r>
            <w:r>
              <w:tab/>
              <w:t>Attivazione tirocini;</w:t>
            </w:r>
          </w:p>
          <w:p w14:paraId="2921D132" w14:textId="11632D7B" w:rsidR="00997CB1" w:rsidRDefault="00997CB1" w:rsidP="00997CB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</w:pPr>
            <w:r>
              <w:t>d)</w:t>
            </w:r>
            <w:r>
              <w:tab/>
              <w:t>Incontro domanda-offerta;</w:t>
            </w:r>
          </w:p>
          <w:p w14:paraId="24D471A5" w14:textId="11C1D0E4" w:rsidR="00997CB1" w:rsidRDefault="00997CB1" w:rsidP="00997CB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</w:pPr>
            <w:r>
              <w:t xml:space="preserve">e)    Supporto all’autoimpiego. </w:t>
            </w:r>
          </w:p>
          <w:p w14:paraId="0AD8003F" w14:textId="77777777" w:rsidR="00997CB1" w:rsidRDefault="00997CB1" w:rsidP="00200E3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31B9B244" w14:textId="77777777" w:rsidR="008C0010" w:rsidRDefault="00200E32" w:rsidP="008C00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Per chi percepisce forme di sostegno al reddito quali Reddito di Cittadinanza o Indennità di disoccupazione NASPI – DISColl, la partecipazione ai percorsi è vincolante.</w:t>
            </w:r>
            <w:r w:rsidR="008C0010">
              <w:t xml:space="preserve"> </w:t>
            </w:r>
          </w:p>
          <w:p w14:paraId="413C2958" w14:textId="77777777" w:rsidR="00CB3817" w:rsidRDefault="00CB3817" w:rsidP="008C00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575907D1" w14:textId="0B5B9978" w:rsidR="00200E32" w:rsidRDefault="008C0010" w:rsidP="008C001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Si precisa che per i Beneficiari di Reddito di Cittadinanza, per tutta la durata del programma, deve essere prevista almeno una attività mensile in presenza presso la sede del soggetto accreditato.</w:t>
            </w:r>
          </w:p>
          <w:p w14:paraId="42F0558D" w14:textId="77777777" w:rsidR="0024764E" w:rsidRDefault="0024764E" w:rsidP="00200E3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DBCC2C0" w14:textId="5A471D16" w:rsidR="00EC2AFC" w:rsidRPr="001943A1" w:rsidRDefault="00EC2AFC" w:rsidP="0020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2F5496" w:themeColor="accent1" w:themeShade="BF"/>
              </w:rPr>
            </w:pPr>
          </w:p>
        </w:tc>
      </w:tr>
      <w:tr w:rsidR="0024764E" w:rsidRPr="001943A1" w14:paraId="4AE71ABC" w14:textId="77777777" w:rsidTr="006B2241">
        <w:tc>
          <w:tcPr>
            <w:tcW w:w="1555" w:type="dxa"/>
          </w:tcPr>
          <w:p w14:paraId="4B8E2C68" w14:textId="12E23D2F" w:rsidR="0024764E" w:rsidRPr="001943A1" w:rsidRDefault="002476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 w:themeColor="accent1" w:themeShade="BF"/>
              </w:rPr>
            </w:pPr>
            <w:r>
              <w:rPr>
                <w:rFonts w:cs="Times-Bold"/>
                <w:b/>
                <w:bCs/>
                <w:color w:val="2F5496" w:themeColor="accent1" w:themeShade="BF"/>
              </w:rPr>
              <w:lastRenderedPageBreak/>
              <w:t>Durata</w:t>
            </w:r>
          </w:p>
        </w:tc>
        <w:tc>
          <w:tcPr>
            <w:tcW w:w="8865" w:type="dxa"/>
          </w:tcPr>
          <w:p w14:paraId="3C0AF4CD" w14:textId="77777777" w:rsidR="00CB3817" w:rsidRDefault="00CB3817" w:rsidP="00A304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1D9E7B44" w14:textId="27A58B58" w:rsidR="0024764E" w:rsidRPr="0024764E" w:rsidRDefault="0024764E" w:rsidP="00A3047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Durante il primo colloquio presso il centro per l’impiego i</w:t>
            </w:r>
            <w:r w:rsidRPr="0024764E">
              <w:t xml:space="preserve"> beneficiari </w:t>
            </w:r>
            <w:r>
              <w:t>sono assegnati ad una categoria di appartenenza che viene definita “cluster”.</w:t>
            </w:r>
            <w:r w:rsidRPr="0024764E">
              <w:t xml:space="preserve"> I cluster </w:t>
            </w:r>
            <w:r>
              <w:t>possono essere di</w:t>
            </w:r>
            <w:r w:rsidRPr="0024764E">
              <w:t xml:space="preserve"> tre</w:t>
            </w:r>
            <w:r>
              <w:t xml:space="preserve"> tipi</w:t>
            </w:r>
            <w:r w:rsidRPr="0024764E">
              <w:t>:</w:t>
            </w:r>
          </w:p>
          <w:p w14:paraId="674317D0" w14:textId="32135E3C" w:rsidR="0024764E" w:rsidRPr="0024764E" w:rsidRDefault="0024764E" w:rsidP="0024764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764E">
              <w:t>Percorso 1: REINSERIMENTO OCCUPAZIONALE;</w:t>
            </w:r>
          </w:p>
          <w:p w14:paraId="1A24ED94" w14:textId="77777777" w:rsidR="0024764E" w:rsidRPr="0024764E" w:rsidRDefault="0024764E" w:rsidP="0024764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764E">
              <w:t>Percorso 2: AGGIORNAMENTO;</w:t>
            </w:r>
          </w:p>
          <w:p w14:paraId="457FFBC2" w14:textId="77777777" w:rsidR="0024764E" w:rsidRDefault="0024764E" w:rsidP="0024764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764E">
              <w:t>Percorso 3: RIQUALIFICAZIONE.</w:t>
            </w:r>
          </w:p>
          <w:p w14:paraId="72CEB3E0" w14:textId="77777777" w:rsidR="0024764E" w:rsidRPr="0024764E" w:rsidRDefault="0024764E" w:rsidP="0024764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B5E4287" w14:textId="155B27AD" w:rsidR="0024764E" w:rsidRDefault="0024764E" w:rsidP="00146F9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764E">
              <w:t>La durata è di 6 mesi per il cluster 1 e 2 e di 12 mesi per il cluster 3</w:t>
            </w:r>
            <w:r w:rsidR="00CB3817">
              <w:t xml:space="preserve"> – tali </w:t>
            </w:r>
            <w:r w:rsidR="00146F93">
              <w:t>durate si intendono automaticamente prorogate per il periodo necessario per garantire la conclusione dei percorsi formativi, per i beneficiari di cui ai cluster 1,2 3, o dei tirocini già avviati alla scadenza sopra indicati.</w:t>
            </w:r>
          </w:p>
          <w:p w14:paraId="284A713E" w14:textId="7E9A14C1" w:rsidR="00CB3817" w:rsidRPr="00146F93" w:rsidRDefault="00CB3817" w:rsidP="00146F9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4B4601" w:rsidRPr="001943A1" w14:paraId="4979E17C" w14:textId="77777777" w:rsidTr="006B2241">
        <w:tc>
          <w:tcPr>
            <w:tcW w:w="1555" w:type="dxa"/>
          </w:tcPr>
          <w:p w14:paraId="10184313" w14:textId="5995CFC0" w:rsidR="004B4601" w:rsidRDefault="004B460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 w:themeColor="accent1" w:themeShade="BF"/>
              </w:rPr>
            </w:pPr>
            <w:r>
              <w:rPr>
                <w:rFonts w:cs="Times-Bold"/>
                <w:b/>
                <w:bCs/>
                <w:color w:val="2F5496" w:themeColor="accent1" w:themeShade="BF"/>
              </w:rPr>
              <w:t>Condizionalità</w:t>
            </w:r>
          </w:p>
        </w:tc>
        <w:tc>
          <w:tcPr>
            <w:tcW w:w="8865" w:type="dxa"/>
          </w:tcPr>
          <w:p w14:paraId="650DDB6E" w14:textId="77777777" w:rsidR="00CB3817" w:rsidRDefault="00CB3817" w:rsidP="004B460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35B42D0" w14:textId="77777777" w:rsidR="008C0010" w:rsidRDefault="004B4601" w:rsidP="004B460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I </w:t>
            </w:r>
            <w:r w:rsidRPr="004B4601">
              <w:t>beneficiari di NASPI, DIS-COLL e Reddito di Cittadinanza</w:t>
            </w:r>
            <w:r>
              <w:t xml:space="preserve"> soggetti a regime di condizionalità rispetto alla presentazione agli appuntamenti e alla partecipazione alle attività di politica attiva del lavoro e di formazione professionale previste dai Patti di Servizio o Patti per il Lavoro e quindi rispetto alle attività del programma GOL. </w:t>
            </w:r>
          </w:p>
          <w:p w14:paraId="4BF3AFF0" w14:textId="7F1EDFB4" w:rsidR="004B4601" w:rsidRDefault="004B4601" w:rsidP="004B460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Dunque, laddove il beneficiario di tali misure di sostegno al reddito risulti ingiustificatamente assente agli appuntamenti o non partecipi alle attività previste, il Centro Per l’Impiego deve provvedere a darne comunicazione a INPS, nei tempi e secondo le modalità previste dalla normativa.</w:t>
            </w:r>
          </w:p>
          <w:p w14:paraId="50134EDC" w14:textId="0092270D" w:rsidR="00403131" w:rsidRDefault="00403131" w:rsidP="0040313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I motivi e le modalità di giustificazione sono riportati sul sito dell’Agenzia Regionale per il Lavoro (agenzialavoro.emr.it) alla sezione “Come Fare Per” – “informazioni per i cittadini” e corrispondono a quanto indicato dal Ministero del Lavoro e delle Politiche Sociali con nota del 04/03/2016 n. 39/0003374.</w:t>
            </w:r>
          </w:p>
          <w:p w14:paraId="239D2973" w14:textId="1E9431AB" w:rsidR="007F772B" w:rsidRDefault="007F772B" w:rsidP="007F772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La procedura prevede la necessità di comunicare e documentare la motivazione di assenza, di regola, entro la data e l’ora stabiliti per l’appuntamento/attività, e comunque entro e non oltre il giorno successivo alla data prevista.</w:t>
            </w:r>
          </w:p>
          <w:p w14:paraId="7A71C49C" w14:textId="41BB82AB" w:rsidR="007F772B" w:rsidRDefault="007F772B" w:rsidP="007F772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La documentazione presentata dagli utenti a giustificazione delle assenze deve essere tenuta agli atti dal soggetto accreditato.</w:t>
            </w:r>
          </w:p>
          <w:p w14:paraId="0DD1ECE6" w14:textId="2D9B4F77" w:rsidR="002A3E9A" w:rsidRDefault="002A3E9A" w:rsidP="004B460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4B4601" w:rsidRPr="001943A1" w14:paraId="2FC7A355" w14:textId="77777777" w:rsidTr="006B2241">
        <w:tc>
          <w:tcPr>
            <w:tcW w:w="1555" w:type="dxa"/>
          </w:tcPr>
          <w:p w14:paraId="44FB8DD4" w14:textId="41C2C08E" w:rsidR="004B4601" w:rsidRDefault="004B460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 w:themeColor="accent1" w:themeShade="BF"/>
              </w:rPr>
            </w:pPr>
            <w:r>
              <w:rPr>
                <w:rFonts w:cs="Times-Bold"/>
                <w:b/>
                <w:bCs/>
                <w:color w:val="2F5496" w:themeColor="accent1" w:themeShade="BF"/>
              </w:rPr>
              <w:t>Fasi</w:t>
            </w:r>
          </w:p>
        </w:tc>
        <w:tc>
          <w:tcPr>
            <w:tcW w:w="8865" w:type="dxa"/>
          </w:tcPr>
          <w:p w14:paraId="2A5A1A2F" w14:textId="77777777" w:rsidR="002A3E9A" w:rsidRDefault="002A3E9A" w:rsidP="002A3E9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5D268E71" w14:textId="3E9855A5" w:rsidR="004B4601" w:rsidRDefault="004B4601" w:rsidP="004B4601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Presentazione del soggetto al centro per l’impiego per l’elaborazione del patto di servizio;</w:t>
            </w:r>
          </w:p>
          <w:p w14:paraId="10588CDA" w14:textId="77777777" w:rsidR="004B4601" w:rsidRDefault="004B4601" w:rsidP="004B4601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La prima convocazione al primo appuntamento con il soggetto accreditato avverrà in modo formale da parte del CPI indicando nel Patto/programma controfirmato dall’utente la data, l’ora e la sede dell’appuntamento come risultanti;</w:t>
            </w:r>
          </w:p>
          <w:p w14:paraId="33668F3B" w14:textId="77777777" w:rsidR="004E0351" w:rsidRDefault="00A414BE" w:rsidP="00A414BE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Per i </w:t>
            </w:r>
            <w:r w:rsidRPr="00A414BE">
              <w:t xml:space="preserve">beneficiari di NASPI, DIS-COLL e Reddito di Cittadinanza </w:t>
            </w:r>
            <w:r>
              <w:t>l</w:t>
            </w:r>
            <w:r w:rsidR="00493828">
              <w:t xml:space="preserve">addove un appuntamento o una attività non si realizzi nella data precedentemente individuata con convocazione formale (inserita nel Patto/Programma o nel Modulo di convocazione sottoscritto), </w:t>
            </w:r>
            <w:r w:rsidR="004E0351">
              <w:t xml:space="preserve">in assenza di giustificati motivi da parte dell’’utente, il soggetto accreditato è tenuto a darne comunicazione al CPI competente che una volta gestite le attività previste per la segnalazione della condizionalità a INPS, risponderà alla sede accreditata comunicando </w:t>
            </w:r>
            <w:r w:rsidR="004E0351">
              <w:lastRenderedPageBreak/>
              <w:t>la possibilità di riconvocare l’utente.</w:t>
            </w:r>
          </w:p>
          <w:p w14:paraId="44370D2F" w14:textId="572DBD7B" w:rsidR="0026189B" w:rsidRDefault="0026189B" w:rsidP="0026189B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Qualora sussistano giustificati motivi alla mancata presentazione all’appuntamento con il soggetto accreditato, quest’</w:t>
            </w:r>
            <w:r w:rsidR="00C86F5D">
              <w:t>ultimo</w:t>
            </w:r>
            <w:r>
              <w:t xml:space="preserve"> dovrà procedere a riconvocare l’utente con le seguenti modalità:</w:t>
            </w:r>
          </w:p>
          <w:p w14:paraId="0C8D0A89" w14:textId="034C4118" w:rsidR="0026189B" w:rsidRDefault="0026189B" w:rsidP="008A0A8F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Per i percettori di NASPI o DIS-COLL, tramite invio del modulo di convocazione via PEC all’utente o in</w:t>
            </w:r>
            <w:r w:rsidR="008A0A8F">
              <w:t xml:space="preserve"> </w:t>
            </w:r>
            <w:r>
              <w:t>mancanza di PEC tramite raccomandata con ricevuta di ritorno;</w:t>
            </w:r>
          </w:p>
          <w:p w14:paraId="1F69E4A0" w14:textId="3C0A351A" w:rsidR="008A0A8F" w:rsidRDefault="008A0A8F" w:rsidP="008A0A8F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Per i beneficiari di Reddito di Cittadinanza tramite invio del modulo di convocazione con e-mail o degli estremi dell’appuntamento tramite SMS.</w:t>
            </w:r>
          </w:p>
          <w:p w14:paraId="2F9E339B" w14:textId="4AD63AE2" w:rsidR="0026189B" w:rsidRDefault="0026189B" w:rsidP="00A414BE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Avvio delle attività </w:t>
            </w:r>
            <w:r w:rsidR="00776F55">
              <w:t>previste dal patto di servizio.</w:t>
            </w:r>
          </w:p>
          <w:p w14:paraId="0CAAE7E5" w14:textId="77777777" w:rsidR="0026189B" w:rsidRDefault="0026189B" w:rsidP="0026189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4F0633C" w14:textId="7ACFAF82" w:rsidR="0026189B" w:rsidRDefault="0026189B" w:rsidP="0026189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6189B">
              <w:t xml:space="preserve">Per i beneficiari di NASPI, DIS-COLL e Reddito di Cittadinanza </w:t>
            </w:r>
            <w:r>
              <w:t>Oltre che per la mancata presentazione agli appuntamenti, la normativa prevede sanzioni anche in caso di mancata accettazione di offerte di lavoro congrue.</w:t>
            </w:r>
          </w:p>
          <w:p w14:paraId="032D40F1" w14:textId="2D04B742" w:rsidR="00E152FB" w:rsidRDefault="00E152FB" w:rsidP="00E152F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La congruità dell’offerta è definita ai sensi dell’art. 25 del d.lgs. 150/2015, dal Decreto Ministeriale n. 42/2018 e, per i beneficiari di Reddito di Cittadinanza la normativa sulla congrua offerta è integrata dalle disposizioni del D.L. 4/2019.</w:t>
            </w:r>
          </w:p>
          <w:p w14:paraId="63DBB117" w14:textId="0259ECBF" w:rsidR="00E152FB" w:rsidRDefault="00E152FB" w:rsidP="00E152F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Gli elementi che concorrono a determinare la congruità dell’offerta, anche in riferimento a caratteristiche soggettive dell’utente, sono:</w:t>
            </w:r>
          </w:p>
          <w:p w14:paraId="7E25BB5C" w14:textId="2F0386C0" w:rsidR="00E152FB" w:rsidRDefault="00E152FB" w:rsidP="00E152FB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Tipologia, durata e orario del contratto di lavoro;</w:t>
            </w:r>
          </w:p>
          <w:p w14:paraId="0891A9DE" w14:textId="355538C3" w:rsidR="00E152FB" w:rsidRDefault="00E152FB" w:rsidP="00E152FB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Luogo di lavoro;</w:t>
            </w:r>
          </w:p>
          <w:p w14:paraId="572E5D6C" w14:textId="216F4F7B" w:rsidR="00E152FB" w:rsidRDefault="00E152FB" w:rsidP="00E152FB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Mansione (con riferimento al settore economico-professionale);</w:t>
            </w:r>
          </w:p>
          <w:p w14:paraId="28C2E5C8" w14:textId="4648F5D4" w:rsidR="00E152FB" w:rsidRDefault="00E152FB" w:rsidP="00E152FB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Retribuzione;</w:t>
            </w:r>
          </w:p>
          <w:p w14:paraId="3A5F6F0E" w14:textId="780B9F2D" w:rsidR="00E152FB" w:rsidRDefault="00E152FB" w:rsidP="00E152FB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Requisiti richiesti.</w:t>
            </w:r>
          </w:p>
          <w:p w14:paraId="017CE772" w14:textId="753B747A" w:rsidR="0026189B" w:rsidRDefault="0026189B" w:rsidP="0026189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14:paraId="430A0DCE" w14:textId="514713F8" w:rsidR="00AD699F" w:rsidRDefault="00AD699F" w:rsidP="00BE6891"/>
    <w:p w14:paraId="5F4F47AE" w14:textId="77777777" w:rsidR="004E0351" w:rsidRDefault="004E0351" w:rsidP="00BE6891"/>
    <w:p w14:paraId="10DBD49E" w14:textId="77777777" w:rsidR="004E0351" w:rsidRPr="00A40990" w:rsidRDefault="004E0351" w:rsidP="00BE6891">
      <w:pPr>
        <w:sectPr w:rsidR="004E0351" w:rsidRPr="00A40990" w:rsidSect="002B5672">
          <w:headerReference w:type="default" r:id="rId12"/>
          <w:footerReference w:type="default" r:id="rId13"/>
          <w:pgSz w:w="11906" w:h="16838"/>
          <w:pgMar w:top="2102" w:right="720" w:bottom="720" w:left="720" w:header="567" w:footer="204" w:gutter="0"/>
          <w:cols w:space="708"/>
          <w:formProt w:val="0"/>
          <w:docGrid w:linePitch="360"/>
        </w:sectPr>
      </w:pPr>
    </w:p>
    <w:p w14:paraId="73C07857" w14:textId="77777777" w:rsidR="00B8317F" w:rsidRPr="00BE6891" w:rsidRDefault="00B8317F" w:rsidP="00BE6891"/>
    <w:sectPr w:rsidR="00B8317F" w:rsidRPr="00BE6891" w:rsidSect="000B2F4F">
      <w:type w:val="continuous"/>
      <w:pgSz w:w="11906" w:h="16838"/>
      <w:pgMar w:top="2102" w:right="720" w:bottom="720" w:left="720" w:header="567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E508" w14:textId="77777777" w:rsidR="0010661F" w:rsidRDefault="0010661F" w:rsidP="00C96A5A">
      <w:pPr>
        <w:spacing w:after="0" w:line="240" w:lineRule="auto"/>
      </w:pPr>
      <w:r>
        <w:separator/>
      </w:r>
    </w:p>
  </w:endnote>
  <w:endnote w:type="continuationSeparator" w:id="0">
    <w:p w14:paraId="4DCB94E3" w14:textId="77777777" w:rsidR="0010661F" w:rsidRDefault="0010661F" w:rsidP="00C9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67"/>
      <w:gridCol w:w="700"/>
      <w:gridCol w:w="3433"/>
      <w:gridCol w:w="2762"/>
      <w:gridCol w:w="2904"/>
    </w:tblGrid>
    <w:tr w:rsidR="004257E8" w14:paraId="5D9EA8E8" w14:textId="77777777" w:rsidTr="00307966">
      <w:tc>
        <w:tcPr>
          <w:tcW w:w="675" w:type="dxa"/>
          <w:shd w:val="clear" w:color="auto" w:fill="auto"/>
        </w:tcPr>
        <w:p w14:paraId="60CD9A11" w14:textId="07CCBDB8" w:rsidR="006B4A14" w:rsidRDefault="00432EDE" w:rsidP="004257E8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CFC5F25" wp14:editId="209ED136">
                <wp:extent cx="180975" cy="1714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shd w:val="clear" w:color="auto" w:fill="auto"/>
        </w:tcPr>
        <w:p w14:paraId="4A9C5CA9" w14:textId="5D97CC1C" w:rsidR="006B4A14" w:rsidRDefault="00432EDE" w:rsidP="004257E8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8DAFD1D" wp14:editId="05D1D2FC">
                <wp:extent cx="180975" cy="1714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6B9B9B1B" w14:textId="77777777" w:rsidR="006B4A14" w:rsidRPr="00307966" w:rsidRDefault="009E0B55" w:rsidP="009E0B55">
          <w:pPr>
            <w:pStyle w:val="Pidipagina"/>
            <w:rPr>
              <w:sz w:val="18"/>
            </w:rPr>
          </w:pPr>
          <w:r w:rsidRPr="00307966">
            <w:rPr>
              <w:sz w:val="18"/>
            </w:rPr>
            <w:t xml:space="preserve">Tempi Moderni </w:t>
          </w:r>
          <w:r w:rsidR="00C9380A" w:rsidRPr="00307966">
            <w:rPr>
              <w:sz w:val="18"/>
            </w:rPr>
            <w:t>S.p.A.</w:t>
          </w:r>
        </w:p>
        <w:p w14:paraId="4B9A413C" w14:textId="77777777" w:rsidR="009E0B55" w:rsidRPr="00307966" w:rsidRDefault="009E0B55" w:rsidP="009E0B55">
          <w:pPr>
            <w:pStyle w:val="Pidipagina"/>
            <w:rPr>
              <w:sz w:val="18"/>
            </w:rPr>
          </w:pPr>
          <w:r w:rsidRPr="00307966">
            <w:rPr>
              <w:sz w:val="18"/>
            </w:rPr>
            <w:t>Agenzia per il Lavoro</w:t>
          </w:r>
        </w:p>
        <w:p w14:paraId="77C58052" w14:textId="77777777" w:rsidR="009E0B55" w:rsidRPr="00307966" w:rsidRDefault="00C9380A" w:rsidP="009E0B55">
          <w:pPr>
            <w:pStyle w:val="Pidipagina"/>
            <w:rPr>
              <w:sz w:val="18"/>
            </w:rPr>
          </w:pPr>
          <w:r w:rsidRPr="00307966">
            <w:rPr>
              <w:sz w:val="18"/>
            </w:rPr>
            <w:t>Via Immacolata di Lourdes, 29</w:t>
          </w:r>
        </w:p>
        <w:p w14:paraId="6ED8CEB6" w14:textId="77777777" w:rsidR="009E0B55" w:rsidRPr="00307966" w:rsidRDefault="00C9380A" w:rsidP="009E0B55">
          <w:pPr>
            <w:pStyle w:val="Pidipagina"/>
            <w:rPr>
              <w:sz w:val="18"/>
            </w:rPr>
          </w:pPr>
          <w:r w:rsidRPr="00307966">
            <w:rPr>
              <w:sz w:val="18"/>
            </w:rPr>
            <w:t>31015 Conegliano (TV)</w:t>
          </w:r>
        </w:p>
      </w:tc>
      <w:tc>
        <w:tcPr>
          <w:tcW w:w="2835" w:type="dxa"/>
          <w:shd w:val="clear" w:color="auto" w:fill="auto"/>
        </w:tcPr>
        <w:p w14:paraId="0E7EFEF3" w14:textId="77777777" w:rsidR="009E0B55" w:rsidRPr="00307966" w:rsidRDefault="00C9380A" w:rsidP="004257E8">
          <w:pPr>
            <w:pStyle w:val="Pidipagina"/>
            <w:rPr>
              <w:sz w:val="18"/>
            </w:rPr>
          </w:pPr>
          <w:r w:rsidRPr="00307966">
            <w:rPr>
              <w:sz w:val="18"/>
            </w:rPr>
            <w:t>P.IVA</w:t>
          </w:r>
          <w:r w:rsidR="009E0B55" w:rsidRPr="00307966">
            <w:rPr>
              <w:sz w:val="18"/>
            </w:rPr>
            <w:t>:</w:t>
          </w:r>
          <w:r w:rsidR="002B5672" w:rsidRPr="00307966">
            <w:rPr>
              <w:sz w:val="18"/>
            </w:rPr>
            <w:t xml:space="preserve"> </w:t>
          </w:r>
          <w:r w:rsidRPr="00307966">
            <w:rPr>
              <w:sz w:val="18"/>
            </w:rPr>
            <w:t>04330930266</w:t>
          </w:r>
        </w:p>
        <w:p w14:paraId="39077A3B" w14:textId="77777777" w:rsidR="009E0B55" w:rsidRPr="00307966" w:rsidRDefault="00C9380A" w:rsidP="004257E8">
          <w:pPr>
            <w:pStyle w:val="Pidipagina"/>
            <w:tabs>
              <w:tab w:val="center" w:pos="142"/>
              <w:tab w:val="left" w:pos="340"/>
            </w:tabs>
            <w:rPr>
              <w:rFonts w:cs="Calibri"/>
              <w:sz w:val="18"/>
            </w:rPr>
          </w:pPr>
          <w:r w:rsidRPr="00307966">
            <w:rPr>
              <w:rFonts w:cs="Calibri"/>
              <w:sz w:val="18"/>
            </w:rPr>
            <w:tab/>
          </w:r>
          <w:r w:rsidR="009E0B55" w:rsidRPr="00307966">
            <w:rPr>
              <w:rFonts w:ascii="Wingdings" w:hAnsi="Wingdings"/>
              <w:sz w:val="18"/>
            </w:rPr>
            <w:t></w:t>
          </w:r>
          <w:r w:rsidRPr="00307966">
            <w:rPr>
              <w:sz w:val="18"/>
            </w:rPr>
            <w:tab/>
          </w:r>
          <w:r w:rsidRPr="00307966">
            <w:rPr>
              <w:rFonts w:cs="Calibri"/>
              <w:sz w:val="18"/>
            </w:rPr>
            <w:t>081 562 82 60</w:t>
          </w:r>
        </w:p>
        <w:p w14:paraId="6EE90DFC" w14:textId="77777777" w:rsidR="006B4A14" w:rsidRPr="00307966" w:rsidRDefault="00C9380A" w:rsidP="004257E8">
          <w:pPr>
            <w:pStyle w:val="Pidipagina"/>
            <w:tabs>
              <w:tab w:val="center" w:pos="142"/>
              <w:tab w:val="left" w:pos="340"/>
            </w:tabs>
            <w:rPr>
              <w:sz w:val="18"/>
            </w:rPr>
          </w:pPr>
          <w:r w:rsidRPr="00307966">
            <w:rPr>
              <w:rFonts w:cs="Calibri"/>
              <w:sz w:val="18"/>
            </w:rPr>
            <w:tab/>
          </w:r>
          <w:r w:rsidRPr="00307966">
            <w:rPr>
              <w:rFonts w:ascii="Wingdings" w:hAnsi="Wingdings"/>
              <w:sz w:val="18"/>
            </w:rPr>
            <w:t></w:t>
          </w:r>
          <w:r w:rsidRPr="00307966">
            <w:rPr>
              <w:sz w:val="18"/>
            </w:rPr>
            <w:tab/>
          </w:r>
          <w:r w:rsidRPr="00307966">
            <w:rPr>
              <w:rFonts w:cs="Calibri"/>
              <w:sz w:val="18"/>
            </w:rPr>
            <w:t>081 562 85 27</w:t>
          </w:r>
        </w:p>
      </w:tc>
      <w:tc>
        <w:tcPr>
          <w:tcW w:w="2919" w:type="dxa"/>
          <w:shd w:val="clear" w:color="auto" w:fill="auto"/>
        </w:tcPr>
        <w:p w14:paraId="7DCA739B" w14:textId="77777777" w:rsidR="006B4A14" w:rsidRPr="00307966" w:rsidRDefault="00000000" w:rsidP="00307966">
          <w:pPr>
            <w:pStyle w:val="Pidipagina"/>
            <w:jc w:val="right"/>
            <w:rPr>
              <w:b/>
              <w:color w:val="FB8005"/>
              <w:sz w:val="18"/>
            </w:rPr>
          </w:pPr>
          <w:hyperlink r:id="rId3" w:history="1">
            <w:r w:rsidR="00C9380A" w:rsidRPr="00307966">
              <w:rPr>
                <w:b/>
                <w:color w:val="FB8005"/>
                <w:sz w:val="18"/>
              </w:rPr>
              <w:t>info@tempimodernilavoro.com</w:t>
            </w:r>
          </w:hyperlink>
        </w:p>
        <w:p w14:paraId="5AC1F346" w14:textId="77777777" w:rsidR="009E0B55" w:rsidRPr="00307966" w:rsidRDefault="00D10025" w:rsidP="00307966">
          <w:pPr>
            <w:pStyle w:val="Pidipagina"/>
            <w:jc w:val="right"/>
            <w:rPr>
              <w:b/>
              <w:color w:val="FB8005"/>
              <w:sz w:val="18"/>
            </w:rPr>
          </w:pPr>
          <w:r w:rsidRPr="00307966">
            <w:rPr>
              <w:b/>
              <w:color w:val="FB8005"/>
              <w:sz w:val="18"/>
            </w:rPr>
            <w:t>www.tempimoderni</w:t>
          </w:r>
          <w:r w:rsidR="00C9380A" w:rsidRPr="00307966">
            <w:rPr>
              <w:b/>
              <w:color w:val="FB8005"/>
              <w:sz w:val="18"/>
            </w:rPr>
            <w:t>lavoro</w:t>
          </w:r>
          <w:r w:rsidRPr="00307966">
            <w:rPr>
              <w:b/>
              <w:color w:val="FB8005"/>
              <w:sz w:val="18"/>
            </w:rPr>
            <w:t>.</w:t>
          </w:r>
          <w:r w:rsidR="00C9380A" w:rsidRPr="00307966">
            <w:rPr>
              <w:b/>
              <w:color w:val="FB8005"/>
              <w:sz w:val="18"/>
            </w:rPr>
            <w:t>com</w:t>
          </w:r>
        </w:p>
      </w:tc>
    </w:tr>
  </w:tbl>
  <w:p w14:paraId="2AC2BC60" w14:textId="2F67ECA8" w:rsidR="00C96A5A" w:rsidRDefault="00432EDE" w:rsidP="00C96A5A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2CFFE0" wp14:editId="3CF8C9F1">
              <wp:simplePos x="0" y="0"/>
              <wp:positionH relativeFrom="column">
                <wp:posOffset>-702310</wp:posOffset>
              </wp:positionH>
              <wp:positionV relativeFrom="paragraph">
                <wp:posOffset>-622300</wp:posOffset>
              </wp:positionV>
              <wp:extent cx="1177925" cy="156845"/>
              <wp:effectExtent l="0" t="635" r="0" b="2540"/>
              <wp:wrapNone/>
              <wp:docPr id="4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17792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11302" w14:textId="77777777" w:rsidR="006418A7" w:rsidRPr="004C09F0" w:rsidRDefault="006418A7" w:rsidP="006418A7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MOD. TM</w:t>
                          </w:r>
                          <w:r w:rsidR="004C17B9">
                            <w:rPr>
                              <w:sz w:val="12"/>
                            </w:rPr>
                            <w:t xml:space="preserve"> 0</w:t>
                          </w:r>
                          <w:r w:rsidR="00C9380A">
                            <w:rPr>
                              <w:sz w:val="12"/>
                            </w:rPr>
                            <w:t>40</w:t>
                          </w:r>
                          <w:r>
                            <w:rPr>
                              <w:sz w:val="12"/>
                            </w:rPr>
                            <w:t xml:space="preserve"> rev.</w:t>
                          </w:r>
                          <w:r w:rsidR="00C9380A">
                            <w:rPr>
                              <w:sz w:val="12"/>
                            </w:rPr>
                            <w:t>3</w:t>
                          </w:r>
                          <w:r>
                            <w:rPr>
                              <w:sz w:val="12"/>
                            </w:rPr>
                            <w:t xml:space="preserve">.0 – </w:t>
                          </w:r>
                          <w:r w:rsidR="00D71F07">
                            <w:rPr>
                              <w:sz w:val="12"/>
                            </w:rPr>
                            <w:t>15</w:t>
                          </w:r>
                          <w:r>
                            <w:rPr>
                              <w:sz w:val="12"/>
                            </w:rPr>
                            <w:t>.0</w:t>
                          </w:r>
                          <w:r w:rsidR="00D71F07">
                            <w:rPr>
                              <w:sz w:val="12"/>
                            </w:rPr>
                            <w:t>5</w:t>
                          </w:r>
                          <w:r>
                            <w:rPr>
                              <w:sz w:val="12"/>
                            </w:rPr>
                            <w:t>.201</w:t>
                          </w:r>
                          <w:r w:rsidR="004C17B9">
                            <w:rPr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CFFE0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left:0;text-align:left;margin-left:-55.3pt;margin-top:-49pt;width:92.75pt;height:12.3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" filled="f" stroked="f" strokeweight=".5pt">
              <v:textbox style="layout-flow:vertical;mso-layout-flow-alt:bottom-to-top" inset="1mm,1mm,1mm,1mm">
                <w:txbxContent>
                  <w:p w14:paraId="5D611302" w14:textId="77777777" w:rsidR="006418A7" w:rsidRPr="004C09F0" w:rsidRDefault="006418A7" w:rsidP="006418A7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MOD. TM</w:t>
                    </w:r>
                    <w:r w:rsidR="004C17B9">
                      <w:rPr>
                        <w:sz w:val="12"/>
                      </w:rPr>
                      <w:t xml:space="preserve"> 0</w:t>
                    </w:r>
                    <w:r w:rsidR="00C9380A">
                      <w:rPr>
                        <w:sz w:val="12"/>
                      </w:rPr>
                      <w:t>40</w:t>
                    </w:r>
                    <w:r>
                      <w:rPr>
                        <w:sz w:val="12"/>
                      </w:rPr>
                      <w:t xml:space="preserve"> rev.</w:t>
                    </w:r>
                    <w:r w:rsidR="00C9380A">
                      <w:rPr>
                        <w:sz w:val="12"/>
                      </w:rPr>
                      <w:t>3</w:t>
                    </w:r>
                    <w:r>
                      <w:rPr>
                        <w:sz w:val="12"/>
                      </w:rPr>
                      <w:t xml:space="preserve">.0 – </w:t>
                    </w:r>
                    <w:r w:rsidR="00D71F07">
                      <w:rPr>
                        <w:sz w:val="12"/>
                      </w:rPr>
                      <w:t>15</w:t>
                    </w:r>
                    <w:r>
                      <w:rPr>
                        <w:sz w:val="12"/>
                      </w:rPr>
                      <w:t>.0</w:t>
                    </w:r>
                    <w:r w:rsidR="00D71F07">
                      <w:rPr>
                        <w:sz w:val="12"/>
                      </w:rPr>
                      <w:t>5</w:t>
                    </w:r>
                    <w:r>
                      <w:rPr>
                        <w:sz w:val="12"/>
                      </w:rPr>
                      <w:t>.201</w:t>
                    </w:r>
                    <w:r w:rsidR="004C17B9">
                      <w:rPr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14:paraId="0BC17E87" w14:textId="77777777" w:rsidR="00C96A5A" w:rsidRDefault="00C96A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A074" w14:textId="77777777" w:rsidR="0010661F" w:rsidRDefault="0010661F" w:rsidP="00C96A5A">
      <w:pPr>
        <w:spacing w:after="0" w:line="240" w:lineRule="auto"/>
      </w:pPr>
      <w:r>
        <w:separator/>
      </w:r>
    </w:p>
  </w:footnote>
  <w:footnote w:type="continuationSeparator" w:id="0">
    <w:p w14:paraId="65274BF7" w14:textId="77777777" w:rsidR="0010661F" w:rsidRDefault="0010661F" w:rsidP="00C9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5162" w14:textId="2A0F2B3C" w:rsidR="00C96A5A" w:rsidRDefault="00432EDE" w:rsidP="00BE6891">
    <w:pPr>
      <w:pStyle w:val="Intestazione"/>
      <w:tabs>
        <w:tab w:val="clear" w:pos="4819"/>
        <w:tab w:val="clear" w:pos="9638"/>
        <w:tab w:val="right" w:pos="10206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60E4399" wp14:editId="5954ECD9">
          <wp:simplePos x="0" y="0"/>
          <wp:positionH relativeFrom="page">
            <wp:posOffset>6089015</wp:posOffset>
          </wp:positionH>
          <wp:positionV relativeFrom="page">
            <wp:posOffset>690880</wp:posOffset>
          </wp:positionV>
          <wp:extent cx="803275" cy="404495"/>
          <wp:effectExtent l="0" t="0" r="0" b="0"/>
          <wp:wrapNone/>
          <wp:docPr id="7" name="Immagine 1" descr="Q-Cert Logo (Inspection - Certificati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Q-Cert Logo (Inspection - Certification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color w:val="7393A2"/>
        <w:sz w:val="14"/>
        <w:lang w:eastAsia="it-IT"/>
      </w:rPr>
      <w:drawing>
        <wp:inline distT="0" distB="0" distL="0" distR="0" wp14:anchorId="2C4422EB" wp14:editId="56E80228">
          <wp:extent cx="1038225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6891">
      <w:rPr>
        <w:b/>
        <w:i/>
        <w:color w:val="7393A2"/>
        <w:sz w:val="14"/>
      </w:rPr>
      <w:tab/>
    </w:r>
    <w:r w:rsidR="002C1EE5">
      <w:rPr>
        <w:b/>
        <w:i/>
        <w:color w:val="7393A2"/>
        <w:sz w:val="14"/>
      </w:rPr>
      <w:t>C</w:t>
    </w:r>
    <w:r w:rsidR="00BE6891" w:rsidRPr="00350365">
      <w:rPr>
        <w:b/>
        <w:i/>
        <w:color w:val="7393A2"/>
        <w:sz w:val="14"/>
      </w:rPr>
      <w:t>ertificato ISO 900</w:t>
    </w:r>
    <w:r w:rsidR="002C1EE5">
      <w:rPr>
        <w:b/>
        <w:i/>
        <w:color w:val="7393A2"/>
        <w:sz w:val="14"/>
      </w:rPr>
      <w:t>1 n° 230913/4146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3D5"/>
    <w:multiLevelType w:val="hybridMultilevel"/>
    <w:tmpl w:val="F4588F40"/>
    <w:lvl w:ilvl="0" w:tplc="16C0339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45E1"/>
    <w:multiLevelType w:val="hybridMultilevel"/>
    <w:tmpl w:val="3D9CE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5019"/>
    <w:multiLevelType w:val="hybridMultilevel"/>
    <w:tmpl w:val="2F6CC9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1B06"/>
    <w:multiLevelType w:val="hybridMultilevel"/>
    <w:tmpl w:val="F95010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A358DE"/>
    <w:multiLevelType w:val="hybridMultilevel"/>
    <w:tmpl w:val="E2DA6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0EE5"/>
    <w:multiLevelType w:val="multilevel"/>
    <w:tmpl w:val="118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BE1B0A"/>
    <w:multiLevelType w:val="hybridMultilevel"/>
    <w:tmpl w:val="07EA0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311A"/>
    <w:multiLevelType w:val="hybridMultilevel"/>
    <w:tmpl w:val="F7E6CCF2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E83B4D"/>
    <w:multiLevelType w:val="hybridMultilevel"/>
    <w:tmpl w:val="D9C29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D5DFE"/>
    <w:multiLevelType w:val="multilevel"/>
    <w:tmpl w:val="0438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64769"/>
    <w:multiLevelType w:val="hybridMultilevel"/>
    <w:tmpl w:val="75909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26EC1"/>
    <w:multiLevelType w:val="hybridMultilevel"/>
    <w:tmpl w:val="594C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16FD8"/>
    <w:multiLevelType w:val="multilevel"/>
    <w:tmpl w:val="28B8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E27F43"/>
    <w:multiLevelType w:val="hybridMultilevel"/>
    <w:tmpl w:val="069E4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70125"/>
    <w:multiLevelType w:val="hybridMultilevel"/>
    <w:tmpl w:val="306C0BC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63719F"/>
    <w:multiLevelType w:val="hybridMultilevel"/>
    <w:tmpl w:val="47FE6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B68D9"/>
    <w:multiLevelType w:val="hybridMultilevel"/>
    <w:tmpl w:val="2FF674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D6E79"/>
    <w:multiLevelType w:val="hybridMultilevel"/>
    <w:tmpl w:val="E6B07F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553B"/>
    <w:multiLevelType w:val="hybridMultilevel"/>
    <w:tmpl w:val="228A5E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C2A90"/>
    <w:multiLevelType w:val="multilevel"/>
    <w:tmpl w:val="4880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AF58F9"/>
    <w:multiLevelType w:val="hybridMultilevel"/>
    <w:tmpl w:val="1038721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BB7F4C"/>
    <w:multiLevelType w:val="hybridMultilevel"/>
    <w:tmpl w:val="E37C9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A6DDE"/>
    <w:multiLevelType w:val="hybridMultilevel"/>
    <w:tmpl w:val="34445D2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A2381D"/>
    <w:multiLevelType w:val="multilevel"/>
    <w:tmpl w:val="EF08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7446982">
    <w:abstractNumId w:val="19"/>
  </w:num>
  <w:num w:numId="2" w16cid:durableId="1186627578">
    <w:abstractNumId w:val="10"/>
  </w:num>
  <w:num w:numId="3" w16cid:durableId="244455659">
    <w:abstractNumId w:val="4"/>
  </w:num>
  <w:num w:numId="4" w16cid:durableId="65035664">
    <w:abstractNumId w:val="13"/>
  </w:num>
  <w:num w:numId="5" w16cid:durableId="1187065160">
    <w:abstractNumId w:val="0"/>
  </w:num>
  <w:num w:numId="6" w16cid:durableId="625545374">
    <w:abstractNumId w:val="11"/>
  </w:num>
  <w:num w:numId="7" w16cid:durableId="1433281671">
    <w:abstractNumId w:val="9"/>
  </w:num>
  <w:num w:numId="8" w16cid:durableId="1423263774">
    <w:abstractNumId w:val="5"/>
  </w:num>
  <w:num w:numId="9" w16cid:durableId="746657581">
    <w:abstractNumId w:val="12"/>
  </w:num>
  <w:num w:numId="10" w16cid:durableId="795833080">
    <w:abstractNumId w:val="23"/>
  </w:num>
  <w:num w:numId="11" w16cid:durableId="287394330">
    <w:abstractNumId w:val="8"/>
  </w:num>
  <w:num w:numId="12" w16cid:durableId="976766007">
    <w:abstractNumId w:val="17"/>
  </w:num>
  <w:num w:numId="13" w16cid:durableId="1209102594">
    <w:abstractNumId w:val="18"/>
  </w:num>
  <w:num w:numId="14" w16cid:durableId="443841485">
    <w:abstractNumId w:val="2"/>
  </w:num>
  <w:num w:numId="15" w16cid:durableId="1155074261">
    <w:abstractNumId w:val="1"/>
  </w:num>
  <w:num w:numId="16" w16cid:durableId="1403597834">
    <w:abstractNumId w:val="15"/>
  </w:num>
  <w:num w:numId="17" w16cid:durableId="697388751">
    <w:abstractNumId w:val="6"/>
  </w:num>
  <w:num w:numId="18" w16cid:durableId="1203904762">
    <w:abstractNumId w:val="21"/>
  </w:num>
  <w:num w:numId="19" w16cid:durableId="697893184">
    <w:abstractNumId w:val="14"/>
  </w:num>
  <w:num w:numId="20" w16cid:durableId="979770234">
    <w:abstractNumId w:val="20"/>
  </w:num>
  <w:num w:numId="21" w16cid:durableId="1843734387">
    <w:abstractNumId w:val="3"/>
  </w:num>
  <w:num w:numId="22" w16cid:durableId="29109724">
    <w:abstractNumId w:val="7"/>
  </w:num>
  <w:num w:numId="23" w16cid:durableId="1036855593">
    <w:abstractNumId w:val="16"/>
  </w:num>
  <w:num w:numId="24" w16cid:durableId="41366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pyLDORwMOBTNty8F+iT6j3JKLSxlCfwGIeyuY8kdf0wgN+2kt68PiKfSH16UwTc8rFHzPqJUglZA+wV8Cotuzw==" w:salt="wpxZSae7K4qqeBwe0tm9/Q==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5A"/>
    <w:rsid w:val="00015578"/>
    <w:rsid w:val="00054C27"/>
    <w:rsid w:val="00094677"/>
    <w:rsid w:val="00095B4E"/>
    <w:rsid w:val="000B2F4F"/>
    <w:rsid w:val="000E7B0C"/>
    <w:rsid w:val="0010661F"/>
    <w:rsid w:val="00146F93"/>
    <w:rsid w:val="00163B24"/>
    <w:rsid w:val="001943A1"/>
    <w:rsid w:val="001C0AED"/>
    <w:rsid w:val="001E19E1"/>
    <w:rsid w:val="001E42A3"/>
    <w:rsid w:val="001F6D4C"/>
    <w:rsid w:val="00200E32"/>
    <w:rsid w:val="0024764E"/>
    <w:rsid w:val="00253BFB"/>
    <w:rsid w:val="0026189B"/>
    <w:rsid w:val="002667B8"/>
    <w:rsid w:val="00284DBA"/>
    <w:rsid w:val="002A0CAF"/>
    <w:rsid w:val="002A3E9A"/>
    <w:rsid w:val="002B3D57"/>
    <w:rsid w:val="002B5672"/>
    <w:rsid w:val="002C1EE5"/>
    <w:rsid w:val="002C45E6"/>
    <w:rsid w:val="00302324"/>
    <w:rsid w:val="00307966"/>
    <w:rsid w:val="0031123C"/>
    <w:rsid w:val="00355D63"/>
    <w:rsid w:val="0037056F"/>
    <w:rsid w:val="00370B09"/>
    <w:rsid w:val="003A7B23"/>
    <w:rsid w:val="003B3686"/>
    <w:rsid w:val="00403131"/>
    <w:rsid w:val="0041015E"/>
    <w:rsid w:val="004257E8"/>
    <w:rsid w:val="00432EDE"/>
    <w:rsid w:val="004359AD"/>
    <w:rsid w:val="0044223B"/>
    <w:rsid w:val="00471635"/>
    <w:rsid w:val="00493828"/>
    <w:rsid w:val="00495531"/>
    <w:rsid w:val="004A5003"/>
    <w:rsid w:val="004B4601"/>
    <w:rsid w:val="004C17B9"/>
    <w:rsid w:val="004E0351"/>
    <w:rsid w:val="004F26BA"/>
    <w:rsid w:val="00514A3C"/>
    <w:rsid w:val="00534533"/>
    <w:rsid w:val="00585A1E"/>
    <w:rsid w:val="005B2E3A"/>
    <w:rsid w:val="006418A7"/>
    <w:rsid w:val="006621A9"/>
    <w:rsid w:val="00683DDA"/>
    <w:rsid w:val="006B2241"/>
    <w:rsid w:val="006B4A14"/>
    <w:rsid w:val="006C017B"/>
    <w:rsid w:val="00723D0C"/>
    <w:rsid w:val="00776F55"/>
    <w:rsid w:val="007922D7"/>
    <w:rsid w:val="007E26D4"/>
    <w:rsid w:val="007F772B"/>
    <w:rsid w:val="0083402F"/>
    <w:rsid w:val="00861376"/>
    <w:rsid w:val="00893739"/>
    <w:rsid w:val="008A0A8F"/>
    <w:rsid w:val="008C0010"/>
    <w:rsid w:val="008F742D"/>
    <w:rsid w:val="00936E6D"/>
    <w:rsid w:val="00997CB1"/>
    <w:rsid w:val="009E0B55"/>
    <w:rsid w:val="00A072ED"/>
    <w:rsid w:val="00A17E8D"/>
    <w:rsid w:val="00A3047B"/>
    <w:rsid w:val="00A40990"/>
    <w:rsid w:val="00A414BE"/>
    <w:rsid w:val="00A86E15"/>
    <w:rsid w:val="00AD0B00"/>
    <w:rsid w:val="00AD699F"/>
    <w:rsid w:val="00B23417"/>
    <w:rsid w:val="00B45271"/>
    <w:rsid w:val="00B66A6A"/>
    <w:rsid w:val="00B67C3D"/>
    <w:rsid w:val="00B8317F"/>
    <w:rsid w:val="00BE63EA"/>
    <w:rsid w:val="00BE6891"/>
    <w:rsid w:val="00C74B86"/>
    <w:rsid w:val="00C86F5D"/>
    <w:rsid w:val="00C9380A"/>
    <w:rsid w:val="00C96A5A"/>
    <w:rsid w:val="00CB3817"/>
    <w:rsid w:val="00D10025"/>
    <w:rsid w:val="00D71F07"/>
    <w:rsid w:val="00D869BE"/>
    <w:rsid w:val="00D87A92"/>
    <w:rsid w:val="00D94432"/>
    <w:rsid w:val="00D95BF8"/>
    <w:rsid w:val="00DA38F5"/>
    <w:rsid w:val="00DF65CF"/>
    <w:rsid w:val="00E152FB"/>
    <w:rsid w:val="00E2164C"/>
    <w:rsid w:val="00E217B9"/>
    <w:rsid w:val="00E423FB"/>
    <w:rsid w:val="00E46E51"/>
    <w:rsid w:val="00EC2AFC"/>
    <w:rsid w:val="00EF6B7B"/>
    <w:rsid w:val="00FA50CE"/>
    <w:rsid w:val="00FF0056"/>
    <w:rsid w:val="00FF0BE0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1C217"/>
  <w15:docId w15:val="{C59885B4-FE70-4B3C-921E-BB83A3E3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DF6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6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A5A"/>
  </w:style>
  <w:style w:type="paragraph" w:styleId="Pidipagina">
    <w:name w:val="footer"/>
    <w:basedOn w:val="Normale"/>
    <w:link w:val="PidipaginaCarattere"/>
    <w:uiPriority w:val="99"/>
    <w:unhideWhenUsed/>
    <w:rsid w:val="00C96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A5A"/>
  </w:style>
  <w:style w:type="table" w:styleId="Grigliatabella">
    <w:name w:val="Table Grid"/>
    <w:basedOn w:val="Tabellanormale"/>
    <w:uiPriority w:val="39"/>
    <w:rsid w:val="006B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9E0B55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9E0B55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26BA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AD699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eWeb">
    <w:name w:val="Normal (Web)"/>
    <w:basedOn w:val="Normale"/>
    <w:uiPriority w:val="99"/>
    <w:unhideWhenUsed/>
    <w:rsid w:val="001E4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42A3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65C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0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enzialavoro.emr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avoroperte.regione.emilia-romagna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zialavoro.emr.it/lavoro-per-te/servizi/per-le-persone/rete-attiv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empimodernilavoro.com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319C9-8F45-4DAB-BC44-70000F72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Cristiana Fevola</cp:lastModifiedBy>
  <cp:revision>2</cp:revision>
  <cp:lastPrinted>2020-11-05T14:35:00Z</cp:lastPrinted>
  <dcterms:created xsi:type="dcterms:W3CDTF">2022-09-12T08:46:00Z</dcterms:created>
  <dcterms:modified xsi:type="dcterms:W3CDTF">2022-09-12T08:46:00Z</dcterms:modified>
</cp:coreProperties>
</file>