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837BB" w14:textId="77777777" w:rsidR="005D6175" w:rsidRDefault="00000000">
      <w:pPr>
        <w:tabs>
          <w:tab w:val="left" w:pos="2856"/>
        </w:tabs>
        <w:spacing w:after="0" w:line="240" w:lineRule="auto"/>
        <w:rPr>
          <w:b/>
        </w:rPr>
      </w:pPr>
      <w:r>
        <w:rPr>
          <w:noProof/>
        </w:rPr>
        <w:drawing>
          <wp:anchor distT="0" distB="0" distL="0" distR="0" simplePos="0" relativeHeight="251658240" behindDoc="1" locked="0" layoutInCell="1" hidden="0" allowOverlap="1" wp14:anchorId="3BC555E7" wp14:editId="1C7D534A">
            <wp:simplePos x="0" y="0"/>
            <wp:positionH relativeFrom="page">
              <wp:posOffset>878205</wp:posOffset>
            </wp:positionH>
            <wp:positionV relativeFrom="page">
              <wp:posOffset>1296035</wp:posOffset>
            </wp:positionV>
            <wp:extent cx="5596255" cy="620395"/>
            <wp:effectExtent l="0" t="0" r="0" b="0"/>
            <wp:wrapNone/>
            <wp:docPr id="19" name="image7.jpg" descr="C:\Users\ADELES~1\AppData\Local\Temp\Rar$DRa44660.26922\Format GG 2017 alta definizione.jpg"/>
            <wp:cNvGraphicFramePr/>
            <a:graphic xmlns:a="http://schemas.openxmlformats.org/drawingml/2006/main">
              <a:graphicData uri="http://schemas.openxmlformats.org/drawingml/2006/picture">
                <pic:pic xmlns:pic="http://schemas.openxmlformats.org/drawingml/2006/picture">
                  <pic:nvPicPr>
                    <pic:cNvPr id="0" name="image7.jpg" descr="C:\Users\ADELES~1\AppData\Local\Temp\Rar$DRa44660.26922\Format GG 2017 alta definizione.jpg"/>
                    <pic:cNvPicPr preferRelativeResize="0"/>
                  </pic:nvPicPr>
                  <pic:blipFill>
                    <a:blip r:embed="rId8"/>
                    <a:srcRect/>
                    <a:stretch>
                      <a:fillRect/>
                    </a:stretch>
                  </pic:blipFill>
                  <pic:spPr>
                    <a:xfrm>
                      <a:off x="0" y="0"/>
                      <a:ext cx="5596255" cy="620395"/>
                    </a:xfrm>
                    <a:prstGeom prst="rect">
                      <a:avLst/>
                    </a:prstGeom>
                    <a:ln/>
                  </pic:spPr>
                </pic:pic>
              </a:graphicData>
            </a:graphic>
          </wp:anchor>
        </w:drawing>
      </w:r>
      <w:r>
        <w:rPr>
          <w:noProof/>
        </w:rPr>
        <w:drawing>
          <wp:anchor distT="0" distB="0" distL="0" distR="0" simplePos="0" relativeHeight="251659264" behindDoc="1" locked="0" layoutInCell="1" hidden="0" allowOverlap="1" wp14:anchorId="0EF10598" wp14:editId="4F70452D">
            <wp:simplePos x="0" y="0"/>
            <wp:positionH relativeFrom="page">
              <wp:posOffset>5970905</wp:posOffset>
            </wp:positionH>
            <wp:positionV relativeFrom="page">
              <wp:posOffset>458470</wp:posOffset>
            </wp:positionV>
            <wp:extent cx="803275" cy="404495"/>
            <wp:effectExtent l="0" t="0" r="0" b="0"/>
            <wp:wrapNone/>
            <wp:docPr id="18" name="image4.png" descr="Q-Cert Logo (Inspection - Certification)"/>
            <wp:cNvGraphicFramePr/>
            <a:graphic xmlns:a="http://schemas.openxmlformats.org/drawingml/2006/main">
              <a:graphicData uri="http://schemas.openxmlformats.org/drawingml/2006/picture">
                <pic:pic xmlns:pic="http://schemas.openxmlformats.org/drawingml/2006/picture">
                  <pic:nvPicPr>
                    <pic:cNvPr id="0" name="image4.png" descr="Q-Cert Logo (Inspection - Certification)"/>
                    <pic:cNvPicPr preferRelativeResize="0"/>
                  </pic:nvPicPr>
                  <pic:blipFill>
                    <a:blip r:embed="rId9"/>
                    <a:srcRect/>
                    <a:stretch>
                      <a:fillRect/>
                    </a:stretch>
                  </pic:blipFill>
                  <pic:spPr>
                    <a:xfrm>
                      <a:off x="0" y="0"/>
                      <a:ext cx="803275" cy="404495"/>
                    </a:xfrm>
                    <a:prstGeom prst="rect">
                      <a:avLst/>
                    </a:prstGeom>
                    <a:ln/>
                  </pic:spPr>
                </pic:pic>
              </a:graphicData>
            </a:graphic>
          </wp:anchor>
        </w:drawing>
      </w:r>
      <w:r>
        <w:rPr>
          <w:noProof/>
        </w:rPr>
        <w:drawing>
          <wp:anchor distT="0" distB="0" distL="0" distR="0" simplePos="0" relativeHeight="251660288" behindDoc="0" locked="0" layoutInCell="1" hidden="0" allowOverlap="1" wp14:anchorId="211AA897" wp14:editId="16C26926">
            <wp:simplePos x="0" y="0"/>
            <wp:positionH relativeFrom="page">
              <wp:posOffset>499744</wp:posOffset>
            </wp:positionH>
            <wp:positionV relativeFrom="page">
              <wp:posOffset>353695</wp:posOffset>
            </wp:positionV>
            <wp:extent cx="850900" cy="702310"/>
            <wp:effectExtent l="0" t="0" r="0" b="0"/>
            <wp:wrapSquare wrapText="left" distT="0" distB="0" distL="0" distR="0"/>
            <wp:docPr id="1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850900" cy="702310"/>
                    </a:xfrm>
                    <a:prstGeom prst="rect">
                      <a:avLst/>
                    </a:prstGeom>
                    <a:ln/>
                  </pic:spPr>
                </pic:pic>
              </a:graphicData>
            </a:graphic>
          </wp:anchor>
        </w:drawing>
      </w:r>
      <w:r>
        <w:rPr>
          <w:b/>
        </w:rPr>
        <w:tab/>
      </w:r>
    </w:p>
    <w:p w14:paraId="0AFEEB7C" w14:textId="77777777" w:rsidR="005D6175" w:rsidRDefault="005D6175">
      <w:pPr>
        <w:spacing w:after="0" w:line="240" w:lineRule="auto"/>
        <w:jc w:val="center"/>
        <w:rPr>
          <w:b/>
        </w:rPr>
      </w:pPr>
    </w:p>
    <w:p w14:paraId="709CB2C2" w14:textId="77777777" w:rsidR="005D6175" w:rsidRDefault="005D6175">
      <w:pPr>
        <w:pBdr>
          <w:top w:val="nil"/>
          <w:left w:val="nil"/>
          <w:bottom w:val="nil"/>
          <w:right w:val="nil"/>
          <w:between w:val="nil"/>
        </w:pBdr>
        <w:spacing w:after="0"/>
        <w:jc w:val="center"/>
        <w:rPr>
          <w:rFonts w:ascii="Helvetica Neue" w:eastAsia="Helvetica Neue" w:hAnsi="Helvetica Neue" w:cs="Helvetica Neue"/>
          <w:b/>
          <w:color w:val="797F83"/>
          <w:sz w:val="21"/>
          <w:szCs w:val="21"/>
        </w:rPr>
      </w:pPr>
    </w:p>
    <w:p w14:paraId="4682BDF4" w14:textId="77777777" w:rsidR="005D6175" w:rsidRDefault="00000000">
      <w:pPr>
        <w:pBdr>
          <w:top w:val="nil"/>
          <w:left w:val="nil"/>
          <w:bottom w:val="nil"/>
          <w:right w:val="nil"/>
          <w:between w:val="nil"/>
        </w:pBdr>
        <w:spacing w:after="0"/>
        <w:jc w:val="center"/>
        <w:rPr>
          <w:rFonts w:ascii="Helvetica Neue" w:eastAsia="Helvetica Neue" w:hAnsi="Helvetica Neue" w:cs="Helvetica Neue"/>
          <w:b/>
          <w:color w:val="797F83"/>
          <w:sz w:val="21"/>
          <w:szCs w:val="21"/>
        </w:rPr>
      </w:pPr>
      <w:r>
        <w:rPr>
          <w:rFonts w:ascii="Helvetica Neue" w:eastAsia="Helvetica Neue" w:hAnsi="Helvetica Neue" w:cs="Helvetica Neue"/>
          <w:b/>
          <w:color w:val="797F83"/>
          <w:sz w:val="21"/>
          <w:szCs w:val="21"/>
        </w:rPr>
        <w:t xml:space="preserve">PIANO DI ATTUAZIONE GARANZIA GIOVANI </w:t>
      </w:r>
    </w:p>
    <w:p w14:paraId="20BE0EB0" w14:textId="77777777" w:rsidR="005D6175" w:rsidRDefault="00000000">
      <w:pPr>
        <w:pBdr>
          <w:top w:val="nil"/>
          <w:left w:val="nil"/>
          <w:bottom w:val="nil"/>
          <w:right w:val="nil"/>
          <w:between w:val="nil"/>
        </w:pBdr>
        <w:spacing w:after="150"/>
        <w:jc w:val="center"/>
        <w:rPr>
          <w:rFonts w:ascii="Helvetica Neue" w:eastAsia="Helvetica Neue" w:hAnsi="Helvetica Neue" w:cs="Helvetica Neue"/>
          <w:b/>
          <w:color w:val="797F83"/>
          <w:sz w:val="21"/>
          <w:szCs w:val="21"/>
        </w:rPr>
        <w:sectPr w:rsidR="005D6175">
          <w:headerReference w:type="default" r:id="rId11"/>
          <w:footerReference w:type="default" r:id="rId12"/>
          <w:pgSz w:w="11906" w:h="16838"/>
          <w:pgMar w:top="2102" w:right="720" w:bottom="720" w:left="720" w:header="567" w:footer="204" w:gutter="0"/>
          <w:pgNumType w:start="1"/>
          <w:cols w:space="720"/>
        </w:sectPr>
      </w:pPr>
      <w:r>
        <w:rPr>
          <w:rFonts w:ascii="Helvetica Neue" w:eastAsia="Helvetica Neue" w:hAnsi="Helvetica Neue" w:cs="Helvetica Neue"/>
          <w:b/>
          <w:color w:val="797F83"/>
          <w:sz w:val="21"/>
          <w:szCs w:val="21"/>
        </w:rPr>
        <w:t>II FASE</w:t>
      </w:r>
    </w:p>
    <w:p w14:paraId="36462FA2" w14:textId="77777777" w:rsidR="005D6175" w:rsidRDefault="005D6175">
      <w:pPr>
        <w:widowControl w:val="0"/>
        <w:pBdr>
          <w:top w:val="nil"/>
          <w:left w:val="nil"/>
          <w:bottom w:val="nil"/>
          <w:right w:val="nil"/>
          <w:between w:val="nil"/>
        </w:pBdr>
        <w:spacing w:after="0" w:line="276" w:lineRule="auto"/>
        <w:rPr>
          <w:rFonts w:ascii="Helvetica Neue" w:eastAsia="Helvetica Neue" w:hAnsi="Helvetica Neue" w:cs="Helvetica Neue"/>
          <w:b/>
          <w:color w:val="797F83"/>
          <w:sz w:val="21"/>
          <w:szCs w:val="21"/>
        </w:rPr>
      </w:pPr>
    </w:p>
    <w:tbl>
      <w:tblPr>
        <w:tblStyle w:val="a"/>
        <w:tblW w:w="104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0"/>
        <w:gridCol w:w="8465"/>
      </w:tblGrid>
      <w:tr w:rsidR="005D6175" w14:paraId="22AB97F1" w14:textId="77777777">
        <w:tc>
          <w:tcPr>
            <w:tcW w:w="1990" w:type="dxa"/>
            <w:tcBorders>
              <w:top w:val="dotted" w:sz="4" w:space="0" w:color="4472C4"/>
              <w:left w:val="dotted" w:sz="4" w:space="0" w:color="4472C4"/>
              <w:bottom w:val="dotted" w:sz="4" w:space="0" w:color="4472C4"/>
              <w:right w:val="dotted" w:sz="4" w:space="0" w:color="4472C4"/>
            </w:tcBorders>
          </w:tcPr>
          <w:p w14:paraId="3D9E2E72" w14:textId="77777777" w:rsidR="005D6175" w:rsidRDefault="005D6175">
            <w:pPr>
              <w:spacing w:before="40" w:after="40" w:line="240" w:lineRule="auto"/>
              <w:jc w:val="center"/>
              <w:rPr>
                <w:b/>
                <w:color w:val="2F5496"/>
              </w:rPr>
            </w:pPr>
          </w:p>
          <w:p w14:paraId="7868A806" w14:textId="77777777" w:rsidR="005D6175" w:rsidRDefault="00000000">
            <w:pPr>
              <w:spacing w:before="40" w:after="40" w:line="240" w:lineRule="auto"/>
              <w:jc w:val="center"/>
              <w:rPr>
                <w:b/>
                <w:color w:val="2F5496"/>
              </w:rPr>
            </w:pPr>
            <w:r>
              <w:rPr>
                <w:b/>
                <w:color w:val="2F5496"/>
              </w:rPr>
              <w:t>Finalità</w:t>
            </w:r>
          </w:p>
        </w:tc>
        <w:tc>
          <w:tcPr>
            <w:tcW w:w="8465" w:type="dxa"/>
            <w:tcBorders>
              <w:top w:val="dotted" w:sz="4" w:space="0" w:color="4472C4"/>
              <w:left w:val="dotted" w:sz="4" w:space="0" w:color="4472C4"/>
              <w:bottom w:val="dotted" w:sz="4" w:space="0" w:color="4472C4"/>
              <w:right w:val="dotted" w:sz="4" w:space="0" w:color="4472C4"/>
            </w:tcBorders>
          </w:tcPr>
          <w:p w14:paraId="6202DB80" w14:textId="77777777" w:rsidR="005D6175" w:rsidRDefault="00000000">
            <w:pPr>
              <w:spacing w:after="0" w:line="240" w:lineRule="auto"/>
              <w:jc w:val="both"/>
              <w:rPr>
                <w:b/>
                <w:i/>
                <w:sz w:val="20"/>
                <w:szCs w:val="20"/>
              </w:rPr>
            </w:pPr>
            <w:r>
              <w:t>Garanzia Giovani (Youth Guarantee) è il Piano Europeo per la lotta alla disoccupazione giovanile con l’obiettivo di garantire che tutti i giovani di età inferiore a 30 anni ricevano un’offerta qualitativamente valida di lavoro o tirocinio</w:t>
            </w:r>
            <w:r>
              <w:rPr>
                <w:b/>
                <w:i/>
                <w:sz w:val="20"/>
                <w:szCs w:val="20"/>
              </w:rPr>
              <w:t>.</w:t>
            </w:r>
          </w:p>
        </w:tc>
      </w:tr>
      <w:tr w:rsidR="005D6175" w14:paraId="466760EC" w14:textId="77777777">
        <w:tc>
          <w:tcPr>
            <w:tcW w:w="1990" w:type="dxa"/>
            <w:tcBorders>
              <w:top w:val="dotted" w:sz="4" w:space="0" w:color="4472C4"/>
              <w:left w:val="dotted" w:sz="4" w:space="0" w:color="4472C4"/>
              <w:bottom w:val="dotted" w:sz="4" w:space="0" w:color="4472C4"/>
              <w:right w:val="dotted" w:sz="4" w:space="0" w:color="4472C4"/>
            </w:tcBorders>
          </w:tcPr>
          <w:p w14:paraId="2BF0B53F" w14:textId="77777777" w:rsidR="005D6175" w:rsidRDefault="00000000">
            <w:pPr>
              <w:spacing w:before="40" w:after="40" w:line="240" w:lineRule="auto"/>
              <w:jc w:val="center"/>
              <w:rPr>
                <w:b/>
                <w:color w:val="2F5496"/>
              </w:rPr>
            </w:pPr>
            <w:r>
              <w:rPr>
                <w:b/>
                <w:color w:val="2F5496"/>
              </w:rPr>
              <w:t>Beneficiari</w:t>
            </w:r>
          </w:p>
        </w:tc>
        <w:tc>
          <w:tcPr>
            <w:tcW w:w="8465" w:type="dxa"/>
            <w:tcBorders>
              <w:top w:val="dotted" w:sz="4" w:space="0" w:color="4472C4"/>
              <w:left w:val="dotted" w:sz="4" w:space="0" w:color="4472C4"/>
              <w:bottom w:val="dotted" w:sz="4" w:space="0" w:color="4472C4"/>
              <w:right w:val="dotted" w:sz="4" w:space="0" w:color="4472C4"/>
            </w:tcBorders>
          </w:tcPr>
          <w:p w14:paraId="4C65EA4F" w14:textId="77777777" w:rsidR="005D6175" w:rsidRDefault="00000000">
            <w:pPr>
              <w:spacing w:after="0" w:line="240" w:lineRule="auto"/>
              <w:jc w:val="both"/>
              <w:rPr>
                <w:rFonts w:cs="Calibri"/>
              </w:rPr>
            </w:pPr>
            <w:r>
              <w:t xml:space="preserve">Gli organismi beneficiari in quanto responsabili dell’avvio e dell’attuazione delle operazioni sono gli </w:t>
            </w:r>
            <w:r>
              <w:rPr>
                <w:b/>
                <w:color w:val="2F5496"/>
              </w:rPr>
              <w:t>operatori con accreditamento definitivo</w:t>
            </w:r>
            <w:r>
              <w:t xml:space="preserve"> </w:t>
            </w:r>
            <w:r>
              <w:rPr>
                <w:b/>
                <w:color w:val="2F5496"/>
              </w:rPr>
              <w:t>ai servizi per il lavoro.</w:t>
            </w:r>
          </w:p>
          <w:p w14:paraId="7CDAA9EB" w14:textId="77777777" w:rsidR="005D6175" w:rsidRDefault="00000000">
            <w:pPr>
              <w:spacing w:after="0" w:line="240" w:lineRule="auto"/>
              <w:jc w:val="both"/>
              <w:rPr>
                <w:rFonts w:cs="Calibri"/>
              </w:rPr>
            </w:pPr>
            <w:r>
              <w:t xml:space="preserve">Il soggetto titolato alla presa in carico del giovane può agire in partenariato con altri soggetti, che collaborano all’attuazione dei servizi previsti nel percorso: </w:t>
            </w:r>
          </w:p>
          <w:p w14:paraId="6BB598AD" w14:textId="77777777" w:rsidR="005D6175" w:rsidRDefault="00000000">
            <w:pPr>
              <w:numPr>
                <w:ilvl w:val="0"/>
                <w:numId w:val="1"/>
              </w:numPr>
              <w:pBdr>
                <w:top w:val="nil"/>
                <w:left w:val="nil"/>
                <w:bottom w:val="nil"/>
                <w:right w:val="nil"/>
                <w:between w:val="nil"/>
              </w:pBdr>
              <w:spacing w:after="0" w:line="240" w:lineRule="auto"/>
              <w:jc w:val="both"/>
              <w:rPr>
                <w:rFonts w:cs="Calibri"/>
                <w:color w:val="000000"/>
              </w:rPr>
            </w:pPr>
            <w:r>
              <w:rPr>
                <w:rFonts w:cs="Calibri"/>
                <w:color w:val="000000"/>
              </w:rPr>
              <w:t xml:space="preserve">Operatori accreditati all’Albo regionale dei servizi di istruzione e formazione professionale, sez. A e B, per l’erogazione del solo servizio formativo (2-A, 5); </w:t>
            </w:r>
          </w:p>
          <w:p w14:paraId="30AF0BE0" w14:textId="77777777" w:rsidR="005D6175" w:rsidRDefault="00000000">
            <w:pPr>
              <w:numPr>
                <w:ilvl w:val="0"/>
                <w:numId w:val="1"/>
              </w:numPr>
              <w:pBdr>
                <w:top w:val="nil"/>
                <w:left w:val="nil"/>
                <w:bottom w:val="nil"/>
                <w:right w:val="nil"/>
                <w:between w:val="nil"/>
              </w:pBdr>
              <w:spacing w:after="0" w:line="240" w:lineRule="auto"/>
              <w:jc w:val="both"/>
              <w:rPr>
                <w:rFonts w:cs="Calibri"/>
                <w:color w:val="000000"/>
              </w:rPr>
            </w:pPr>
            <w:r>
              <w:rPr>
                <w:rFonts w:cs="Calibri"/>
                <w:color w:val="000000"/>
              </w:rPr>
              <w:t xml:space="preserve">b) Operatori accreditati all’Albo regionale dei servizi al lavoro, ai sensi della L.R. n. 22/2006, come modificata dalla L.R. n. 9/2018, per l’erogazione dei soli servizi al lavoro (1-A, 1-B, 1-C, 3, 5). </w:t>
            </w:r>
          </w:p>
        </w:tc>
      </w:tr>
      <w:tr w:rsidR="005D6175" w14:paraId="47A03C4C" w14:textId="77777777">
        <w:tc>
          <w:tcPr>
            <w:tcW w:w="1990" w:type="dxa"/>
            <w:tcBorders>
              <w:top w:val="dotted" w:sz="4" w:space="0" w:color="4472C4"/>
              <w:left w:val="dotted" w:sz="4" w:space="0" w:color="4472C4"/>
              <w:bottom w:val="dotted" w:sz="4" w:space="0" w:color="4472C4"/>
              <w:right w:val="dotted" w:sz="4" w:space="0" w:color="4472C4"/>
            </w:tcBorders>
          </w:tcPr>
          <w:p w14:paraId="06FE21B1" w14:textId="77777777" w:rsidR="005D6175" w:rsidRDefault="005D6175">
            <w:pPr>
              <w:spacing w:before="40" w:after="40" w:line="240" w:lineRule="auto"/>
              <w:jc w:val="center"/>
              <w:rPr>
                <w:b/>
                <w:color w:val="2F5496"/>
              </w:rPr>
            </w:pPr>
          </w:p>
          <w:p w14:paraId="5E5F429D" w14:textId="77777777" w:rsidR="005D6175" w:rsidRDefault="005D6175">
            <w:pPr>
              <w:spacing w:before="40" w:after="40" w:line="240" w:lineRule="auto"/>
              <w:jc w:val="center"/>
              <w:rPr>
                <w:b/>
                <w:color w:val="2F5496"/>
              </w:rPr>
            </w:pPr>
          </w:p>
          <w:p w14:paraId="078B6D89" w14:textId="77777777" w:rsidR="005D6175" w:rsidRDefault="005D6175">
            <w:pPr>
              <w:spacing w:before="40" w:after="40" w:line="240" w:lineRule="auto"/>
              <w:jc w:val="center"/>
              <w:rPr>
                <w:b/>
                <w:color w:val="2F5496"/>
              </w:rPr>
            </w:pPr>
          </w:p>
          <w:p w14:paraId="0AF5D4D9" w14:textId="77777777" w:rsidR="005D6175" w:rsidRDefault="00000000">
            <w:pPr>
              <w:spacing w:before="40" w:after="40" w:line="240" w:lineRule="auto"/>
              <w:jc w:val="center"/>
              <w:rPr>
                <w:b/>
                <w:color w:val="2F5496"/>
              </w:rPr>
            </w:pPr>
            <w:r>
              <w:rPr>
                <w:b/>
                <w:color w:val="2F5496"/>
              </w:rPr>
              <w:t>Destinatari</w:t>
            </w:r>
          </w:p>
        </w:tc>
        <w:tc>
          <w:tcPr>
            <w:tcW w:w="8465" w:type="dxa"/>
            <w:tcBorders>
              <w:top w:val="dotted" w:sz="4" w:space="0" w:color="4472C4"/>
              <w:left w:val="dotted" w:sz="4" w:space="0" w:color="4472C4"/>
              <w:bottom w:val="dotted" w:sz="4" w:space="0" w:color="4472C4"/>
              <w:right w:val="dotted" w:sz="4" w:space="0" w:color="4472C4"/>
            </w:tcBorders>
          </w:tcPr>
          <w:p w14:paraId="13F34587" w14:textId="77777777" w:rsidR="005D6175" w:rsidRDefault="00000000">
            <w:pPr>
              <w:spacing w:after="0" w:line="240" w:lineRule="auto"/>
              <w:rPr>
                <w:rFonts w:cs="Calibri"/>
              </w:rPr>
            </w:pPr>
            <w:r>
              <w:t>I giovani NEET (Not in Education, Employment or Training) con i seguenti requisiti:</w:t>
            </w:r>
          </w:p>
          <w:p w14:paraId="76BF0476" w14:textId="77777777" w:rsidR="005D6175" w:rsidRDefault="00000000">
            <w:pPr>
              <w:numPr>
                <w:ilvl w:val="0"/>
                <w:numId w:val="6"/>
              </w:numPr>
              <w:spacing w:after="0" w:line="240" w:lineRule="auto"/>
              <w:jc w:val="both"/>
              <w:rPr>
                <w:rFonts w:cs="Calibri"/>
              </w:rPr>
            </w:pPr>
            <w:r>
              <w:t>età compresa tra i 16 e i 29 anni (fino al compimento dei 30 anni), al momento della registrazione al portale nazionale;</w:t>
            </w:r>
          </w:p>
          <w:p w14:paraId="191B1A75" w14:textId="77777777" w:rsidR="005D6175" w:rsidRDefault="00000000">
            <w:pPr>
              <w:numPr>
                <w:ilvl w:val="0"/>
                <w:numId w:val="6"/>
              </w:numPr>
              <w:spacing w:after="0" w:line="240" w:lineRule="auto"/>
              <w:jc w:val="both"/>
              <w:rPr>
                <w:rFonts w:cs="Calibri"/>
              </w:rPr>
            </w:pPr>
            <w:r>
              <w:t>essere residente nelle Regioni italiane, ammissibili all’Iniziativa per l’Occupazione Giovanile (IOG), e nella Provincia Autonoma di Trento;</w:t>
            </w:r>
          </w:p>
          <w:p w14:paraId="3FD2AA15" w14:textId="77777777" w:rsidR="005D6175" w:rsidRDefault="00000000">
            <w:pPr>
              <w:numPr>
                <w:ilvl w:val="0"/>
                <w:numId w:val="6"/>
              </w:numPr>
              <w:spacing w:after="0" w:line="240" w:lineRule="auto"/>
              <w:jc w:val="both"/>
              <w:rPr>
                <w:rFonts w:cs="Calibri"/>
              </w:rPr>
            </w:pPr>
            <w:r>
              <w:t>essere disoccupato ai sensi dell’articolo 19 del decreto legislativo n. 150 del 14 settembre 2015 e successive modifiche e integrazioni;</w:t>
            </w:r>
          </w:p>
          <w:p w14:paraId="0FD3CE95" w14:textId="77777777" w:rsidR="005D6175" w:rsidRDefault="00000000">
            <w:pPr>
              <w:numPr>
                <w:ilvl w:val="0"/>
                <w:numId w:val="6"/>
              </w:numPr>
              <w:spacing w:after="0" w:line="240" w:lineRule="auto"/>
              <w:jc w:val="both"/>
              <w:rPr>
                <w:rFonts w:cs="Calibri"/>
              </w:rPr>
            </w:pPr>
            <w:r>
              <w:t>non frequentare un regolare corso di studi (secondari superiori, terziari non universitari o universitari);</w:t>
            </w:r>
          </w:p>
          <w:p w14:paraId="4BA8F3A2" w14:textId="77777777" w:rsidR="005D6175" w:rsidRDefault="00000000">
            <w:pPr>
              <w:numPr>
                <w:ilvl w:val="0"/>
                <w:numId w:val="6"/>
              </w:numPr>
              <w:spacing w:after="0" w:line="240" w:lineRule="auto"/>
              <w:jc w:val="both"/>
              <w:rPr>
                <w:rFonts w:cs="Calibri"/>
              </w:rPr>
            </w:pPr>
            <w:r>
              <w:t>non essere inserito in alcun corso di formazione, compresi quelli di aggiornamento per l’esercizio della professione o per il mantenimento dell’iscrizione ad un Albo o Ordine professionale;</w:t>
            </w:r>
          </w:p>
          <w:p w14:paraId="2B976EF6" w14:textId="77777777" w:rsidR="005D6175" w:rsidRDefault="00000000">
            <w:pPr>
              <w:numPr>
                <w:ilvl w:val="0"/>
                <w:numId w:val="6"/>
              </w:numPr>
              <w:spacing w:after="0" w:line="240" w:lineRule="auto"/>
              <w:jc w:val="both"/>
              <w:rPr>
                <w:rFonts w:cs="Calibri"/>
              </w:rPr>
            </w:pPr>
            <w:r>
              <w:t>non essere inserito in percorsi di tirocinio extracurriculare, in quanto misura formativa;</w:t>
            </w:r>
          </w:p>
          <w:p w14:paraId="6B88966D" w14:textId="77777777" w:rsidR="005D6175" w:rsidRDefault="00000000">
            <w:pPr>
              <w:numPr>
                <w:ilvl w:val="0"/>
                <w:numId w:val="6"/>
              </w:numPr>
              <w:spacing w:after="0" w:line="240" w:lineRule="auto"/>
              <w:jc w:val="both"/>
              <w:rPr>
                <w:rFonts w:cs="Calibri"/>
              </w:rPr>
            </w:pPr>
            <w:r>
              <w:t>non avere in corso di svolgimento il servizio civile;</w:t>
            </w:r>
          </w:p>
          <w:p w14:paraId="71FFC33D" w14:textId="77777777" w:rsidR="005D6175" w:rsidRDefault="00000000">
            <w:pPr>
              <w:numPr>
                <w:ilvl w:val="0"/>
                <w:numId w:val="6"/>
              </w:numPr>
              <w:spacing w:after="0" w:line="240" w:lineRule="auto"/>
              <w:jc w:val="both"/>
              <w:rPr>
                <w:rFonts w:cs="Calibri"/>
              </w:rPr>
            </w:pPr>
            <w:r>
              <w:t>non avere in corso di svolgimento interventi di politiche attive</w:t>
            </w:r>
          </w:p>
          <w:p w14:paraId="7BF1EDDF" w14:textId="77777777" w:rsidR="005D6175" w:rsidRDefault="00000000">
            <w:pPr>
              <w:spacing w:after="0" w:line="240" w:lineRule="auto"/>
              <w:jc w:val="both"/>
              <w:rPr>
                <w:rFonts w:cs="Calibri"/>
              </w:rPr>
            </w:pPr>
            <w:r>
              <w:t>Possono accedere inoltre i giovani che, in possesso dei requisiti sopra elencati, appartengono ad una delle seguenti categorie:</w:t>
            </w:r>
          </w:p>
          <w:p w14:paraId="0B3F87D0" w14:textId="77777777" w:rsidR="005D6175" w:rsidRDefault="00000000">
            <w:pPr>
              <w:numPr>
                <w:ilvl w:val="0"/>
                <w:numId w:val="7"/>
              </w:numPr>
              <w:spacing w:after="0" w:line="240" w:lineRule="auto"/>
              <w:jc w:val="both"/>
              <w:rPr>
                <w:rFonts w:cs="Calibri"/>
              </w:rPr>
            </w:pPr>
            <w:r>
              <w:t>giovani NEET percettori e non percettori di NASPI ai sensi della L.26/2019 “Disposizioni urgenti in materia di Reddito di Cittadinanza e di pensioni”;</w:t>
            </w:r>
          </w:p>
          <w:p w14:paraId="1F49FD86" w14:textId="77777777" w:rsidR="005D6175" w:rsidRDefault="00000000">
            <w:pPr>
              <w:numPr>
                <w:ilvl w:val="0"/>
                <w:numId w:val="7"/>
              </w:numPr>
              <w:spacing w:after="0" w:line="240" w:lineRule="auto"/>
              <w:jc w:val="both"/>
              <w:rPr>
                <w:rFonts w:ascii="Arial" w:eastAsia="Arial" w:hAnsi="Arial" w:cs="Arial"/>
                <w:b/>
                <w:color w:val="1C2024"/>
                <w:sz w:val="27"/>
                <w:szCs w:val="27"/>
              </w:rPr>
            </w:pPr>
            <w:r>
              <w:t>giovani NEET richiedenti asilo che, pur privi del requisito della residenza, e in possesso di tutti gli altri requisiti d’accesso al Programma, sono in condizioni di regolarità sul territorio nazionale sulla base della normativa vigente.</w:t>
            </w:r>
          </w:p>
          <w:p w14:paraId="748FB1AD" w14:textId="77777777" w:rsidR="005D6175" w:rsidRDefault="005D6175">
            <w:pPr>
              <w:spacing w:after="0" w:line="240" w:lineRule="auto"/>
              <w:jc w:val="both"/>
              <w:rPr>
                <w:sz w:val="20"/>
                <w:szCs w:val="20"/>
              </w:rPr>
            </w:pPr>
          </w:p>
        </w:tc>
      </w:tr>
      <w:tr w:rsidR="005D6175" w14:paraId="7BF3E1AE" w14:textId="77777777">
        <w:tc>
          <w:tcPr>
            <w:tcW w:w="1990" w:type="dxa"/>
            <w:tcBorders>
              <w:top w:val="dotted" w:sz="4" w:space="0" w:color="4472C4"/>
              <w:left w:val="dotted" w:sz="4" w:space="0" w:color="4472C4"/>
              <w:bottom w:val="dotted" w:sz="4" w:space="0" w:color="4472C4"/>
              <w:right w:val="dotted" w:sz="4" w:space="0" w:color="4472C4"/>
            </w:tcBorders>
          </w:tcPr>
          <w:p w14:paraId="69361296" w14:textId="77777777" w:rsidR="005D6175" w:rsidRDefault="005D6175">
            <w:pPr>
              <w:spacing w:before="40" w:after="40" w:line="240" w:lineRule="auto"/>
              <w:jc w:val="center"/>
              <w:rPr>
                <w:b/>
                <w:color w:val="2F5496"/>
              </w:rPr>
            </w:pPr>
          </w:p>
          <w:p w14:paraId="5A7402AC" w14:textId="77777777" w:rsidR="005D6175" w:rsidRDefault="005D6175">
            <w:pPr>
              <w:spacing w:before="40" w:after="40" w:line="240" w:lineRule="auto"/>
              <w:jc w:val="center"/>
              <w:rPr>
                <w:b/>
                <w:color w:val="2F5496"/>
              </w:rPr>
            </w:pPr>
          </w:p>
          <w:p w14:paraId="2F9755D4" w14:textId="77777777" w:rsidR="005D6175" w:rsidRDefault="00000000">
            <w:pPr>
              <w:spacing w:before="40" w:after="40" w:line="240" w:lineRule="auto"/>
              <w:jc w:val="center"/>
              <w:rPr>
                <w:b/>
                <w:color w:val="2F5496"/>
              </w:rPr>
            </w:pPr>
            <w:r>
              <w:rPr>
                <w:b/>
                <w:color w:val="2F5496"/>
              </w:rPr>
              <w:lastRenderedPageBreak/>
              <w:t>Come partecipare?</w:t>
            </w:r>
          </w:p>
        </w:tc>
        <w:tc>
          <w:tcPr>
            <w:tcW w:w="8465" w:type="dxa"/>
            <w:tcBorders>
              <w:top w:val="dotted" w:sz="4" w:space="0" w:color="4472C4"/>
              <w:left w:val="dotted" w:sz="4" w:space="0" w:color="4472C4"/>
              <w:bottom w:val="dotted" w:sz="4" w:space="0" w:color="4472C4"/>
              <w:right w:val="dotted" w:sz="4" w:space="0" w:color="4472C4"/>
            </w:tcBorders>
          </w:tcPr>
          <w:p w14:paraId="5BC47B95" w14:textId="77777777" w:rsidR="005D6175" w:rsidRDefault="00000000">
            <w:pPr>
              <w:pBdr>
                <w:top w:val="nil"/>
                <w:left w:val="nil"/>
                <w:bottom w:val="nil"/>
                <w:right w:val="nil"/>
                <w:between w:val="nil"/>
              </w:pBdr>
              <w:spacing w:after="0" w:line="240" w:lineRule="auto"/>
              <w:jc w:val="both"/>
              <w:rPr>
                <w:rFonts w:cs="Calibri"/>
                <w:color w:val="000000"/>
              </w:rPr>
            </w:pPr>
            <w:r>
              <w:rPr>
                <w:rFonts w:cs="Calibri"/>
                <w:color w:val="000000"/>
              </w:rPr>
              <w:lastRenderedPageBreak/>
              <w:t xml:space="preserve">Per accedere è necessario effettuare l’adesione al programma nazionale Garanzia Giovani, attraverso la registrazione al portale </w:t>
            </w:r>
            <w:hyperlink r:id="rId13">
              <w:r>
                <w:rPr>
                  <w:rFonts w:cs="Calibri"/>
                  <w:color w:val="0563C1"/>
                  <w:u w:val="single"/>
                </w:rPr>
                <w:t>MyANPAL</w:t>
              </w:r>
            </w:hyperlink>
            <w:r>
              <w:rPr>
                <w:rFonts w:cs="Calibri"/>
                <w:color w:val="000000"/>
              </w:rPr>
              <w:t xml:space="preserve"> e l’adesione al programma, selezionando la Regione o Provincia autonoma dove si preferisce usufruire di una delle opportunità previste </w:t>
            </w:r>
            <w:r>
              <w:rPr>
                <w:rFonts w:cs="Calibri"/>
                <w:color w:val="000000"/>
              </w:rPr>
              <w:lastRenderedPageBreak/>
              <w:t>dal Programma, la residenza o perlomeno il domicilio devono essere all’interno della Regione selezionata.</w:t>
            </w:r>
          </w:p>
          <w:p w14:paraId="1BC5ED9B" w14:textId="77777777" w:rsidR="005D6175" w:rsidRDefault="00000000">
            <w:pPr>
              <w:pBdr>
                <w:top w:val="nil"/>
                <w:left w:val="nil"/>
                <w:bottom w:val="nil"/>
                <w:right w:val="nil"/>
                <w:between w:val="nil"/>
              </w:pBdr>
              <w:spacing w:after="0" w:line="240" w:lineRule="auto"/>
              <w:jc w:val="both"/>
              <w:rPr>
                <w:rFonts w:cs="Calibri"/>
                <w:color w:val="000000"/>
              </w:rPr>
            </w:pPr>
            <w:r>
              <w:rPr>
                <w:rFonts w:cs="Calibri"/>
                <w:color w:val="000000"/>
              </w:rPr>
              <w:t xml:space="preserve">Il giovane che seleziona la </w:t>
            </w:r>
            <w:r>
              <w:rPr>
                <w:rFonts w:cs="Calibri"/>
                <w:b/>
                <w:color w:val="2F5496"/>
              </w:rPr>
              <w:t xml:space="preserve">Lombardia </w:t>
            </w:r>
            <w:r>
              <w:rPr>
                <w:rFonts w:cs="Calibri"/>
                <w:color w:val="000000"/>
              </w:rPr>
              <w:t>come Regione di attuazione del Programma, riceve una </w:t>
            </w:r>
            <w:hyperlink r:id="rId14">
              <w:r>
                <w:rPr>
                  <w:rFonts w:cs="Calibri"/>
                  <w:color w:val="000000"/>
                </w:rPr>
                <w:t>comunicazione da parte del Sistema Informativo Unitario del Lavoro di Regione Lombardia (SIUL)</w:t>
              </w:r>
            </w:hyperlink>
            <w:r>
              <w:rPr>
                <w:rFonts w:cs="Calibri"/>
                <w:color w:val="000000"/>
              </w:rPr>
              <w:t> contenente il link da cui scegliere e contattare un </w:t>
            </w:r>
            <w:hyperlink r:id="rId15">
              <w:r>
                <w:rPr>
                  <w:rFonts w:cs="Calibri"/>
                  <w:color w:val="000000"/>
                </w:rPr>
                <w:t>operatore accreditato ai servizi al lavoro</w:t>
              </w:r>
            </w:hyperlink>
            <w:r>
              <w:rPr>
                <w:rFonts w:cs="Calibri"/>
                <w:color w:val="000000"/>
              </w:rPr>
              <w:t> dove recarsi per:</w:t>
            </w:r>
          </w:p>
          <w:p w14:paraId="13390B0F" w14:textId="77777777" w:rsidR="005D6175" w:rsidRDefault="00000000">
            <w:pPr>
              <w:numPr>
                <w:ilvl w:val="0"/>
                <w:numId w:val="8"/>
              </w:numPr>
              <w:spacing w:after="0" w:line="240" w:lineRule="auto"/>
              <w:rPr>
                <w:rFonts w:cs="Calibri"/>
              </w:rPr>
            </w:pPr>
            <w:r>
              <w:t>essere informato sul Programma</w:t>
            </w:r>
          </w:p>
          <w:p w14:paraId="0E69F753" w14:textId="77777777" w:rsidR="005D6175" w:rsidRDefault="00000000">
            <w:pPr>
              <w:numPr>
                <w:ilvl w:val="0"/>
                <w:numId w:val="8"/>
              </w:numPr>
              <w:spacing w:after="0" w:line="240" w:lineRule="auto"/>
              <w:rPr>
                <w:rFonts w:cs="Calibri"/>
              </w:rPr>
            </w:pPr>
            <w:r>
              <w:t>essere supportato nel definire l’obiettivo professionale</w:t>
            </w:r>
          </w:p>
          <w:p w14:paraId="1241D976" w14:textId="77777777" w:rsidR="005D6175" w:rsidRDefault="00000000">
            <w:pPr>
              <w:numPr>
                <w:ilvl w:val="0"/>
                <w:numId w:val="8"/>
              </w:numPr>
              <w:spacing w:after="0" w:line="240" w:lineRule="auto"/>
              <w:rPr>
                <w:rFonts w:cs="Calibri"/>
              </w:rPr>
            </w:pPr>
            <w:r>
              <w:t>essere preso in carico</w:t>
            </w:r>
          </w:p>
          <w:p w14:paraId="03404116" w14:textId="77777777" w:rsidR="005D6175" w:rsidRDefault="00000000">
            <w:pPr>
              <w:numPr>
                <w:ilvl w:val="0"/>
                <w:numId w:val="8"/>
              </w:numPr>
              <w:spacing w:after="0" w:line="240" w:lineRule="auto"/>
              <w:rPr>
                <w:rFonts w:cs="Calibri"/>
              </w:rPr>
            </w:pPr>
            <w:r>
              <w:t>sottoscrivere un Patto di Servizio e un Piano d’Intervento Personalizzato</w:t>
            </w:r>
          </w:p>
          <w:p w14:paraId="530DABD4" w14:textId="77777777" w:rsidR="005D6175" w:rsidRDefault="00000000">
            <w:pPr>
              <w:numPr>
                <w:ilvl w:val="0"/>
                <w:numId w:val="8"/>
              </w:numPr>
              <w:spacing w:after="0" w:line="240" w:lineRule="auto"/>
              <w:rPr>
                <w:rFonts w:cs="Calibri"/>
              </w:rPr>
            </w:pPr>
            <w:r>
              <w:t>presentare la domanda di Dote.</w:t>
            </w:r>
          </w:p>
          <w:p w14:paraId="4E85BEC1" w14:textId="77777777" w:rsidR="005D6175" w:rsidRDefault="00000000">
            <w:pPr>
              <w:pBdr>
                <w:top w:val="nil"/>
                <w:left w:val="nil"/>
                <w:bottom w:val="nil"/>
                <w:right w:val="nil"/>
                <w:between w:val="nil"/>
              </w:pBdr>
              <w:spacing w:after="0" w:line="240" w:lineRule="auto"/>
              <w:jc w:val="both"/>
              <w:rPr>
                <w:rFonts w:cs="Calibri"/>
                <w:color w:val="000000"/>
              </w:rPr>
            </w:pPr>
            <w:r>
              <w:rPr>
                <w:rFonts w:cs="Calibri"/>
                <w:color w:val="000000"/>
              </w:rPr>
              <w:t>Il giovane ha 60 giorni dalla ricezione della comunicazione da Regione Lombardia – SIUL per recarsi presso l’operatore accreditato ai servizi al lavoro scelto ed essere preso in carico, pena l’esclusione dal Programma. Decorso tale termine, la registrazione scade e il giovane può riaderire al Programma accedendo all'area personale del Portale MyAnpal.</w:t>
            </w:r>
          </w:p>
        </w:tc>
      </w:tr>
      <w:tr w:rsidR="005D6175" w14:paraId="1B44352D" w14:textId="77777777">
        <w:tc>
          <w:tcPr>
            <w:tcW w:w="1990" w:type="dxa"/>
            <w:tcBorders>
              <w:top w:val="dotted" w:sz="4" w:space="0" w:color="4472C4"/>
              <w:left w:val="dotted" w:sz="4" w:space="0" w:color="4472C4"/>
              <w:bottom w:val="dotted" w:sz="4" w:space="0" w:color="4472C4"/>
              <w:right w:val="dotted" w:sz="4" w:space="0" w:color="4472C4"/>
            </w:tcBorders>
          </w:tcPr>
          <w:p w14:paraId="5625BBCF" w14:textId="77777777" w:rsidR="005D6175" w:rsidRDefault="00000000">
            <w:pPr>
              <w:spacing w:before="40" w:after="40" w:line="240" w:lineRule="auto"/>
              <w:jc w:val="center"/>
              <w:rPr>
                <w:b/>
                <w:color w:val="2F5496"/>
              </w:rPr>
            </w:pPr>
            <w:r>
              <w:rPr>
                <w:b/>
                <w:color w:val="2F5496"/>
              </w:rPr>
              <w:lastRenderedPageBreak/>
              <w:t>Fascia di intensità di aiuto</w:t>
            </w:r>
          </w:p>
        </w:tc>
        <w:tc>
          <w:tcPr>
            <w:tcW w:w="8465" w:type="dxa"/>
            <w:tcBorders>
              <w:top w:val="dotted" w:sz="4" w:space="0" w:color="4472C4"/>
              <w:left w:val="dotted" w:sz="4" w:space="0" w:color="4472C4"/>
              <w:bottom w:val="dotted" w:sz="4" w:space="0" w:color="4472C4"/>
              <w:right w:val="dotted" w:sz="4" w:space="0" w:color="4472C4"/>
            </w:tcBorders>
          </w:tcPr>
          <w:p w14:paraId="00A2C7C0" w14:textId="77777777" w:rsidR="005D6175" w:rsidRDefault="00000000">
            <w:pPr>
              <w:spacing w:after="0" w:line="240" w:lineRule="auto"/>
              <w:jc w:val="both"/>
              <w:rPr>
                <w:rFonts w:cs="Calibri"/>
              </w:rPr>
            </w:pPr>
            <w:r>
              <w:t>Il budget e il mix di servizi rimborsabili varia in relazione alla fascia di intensità di aiuto cui la persona è assegnata a seconda delle proprie caratteristiche, sulla base di un sistema di profiling nazionale:</w:t>
            </w:r>
          </w:p>
          <w:p w14:paraId="7FD5B22A" w14:textId="77777777" w:rsidR="005D6175" w:rsidRDefault="00000000">
            <w:pPr>
              <w:numPr>
                <w:ilvl w:val="0"/>
                <w:numId w:val="2"/>
              </w:numPr>
              <w:pBdr>
                <w:top w:val="nil"/>
                <w:left w:val="nil"/>
                <w:bottom w:val="nil"/>
                <w:right w:val="nil"/>
                <w:between w:val="nil"/>
              </w:pBdr>
              <w:spacing w:after="0" w:line="240" w:lineRule="auto"/>
              <w:jc w:val="both"/>
              <w:rPr>
                <w:rFonts w:cs="Calibri"/>
                <w:color w:val="000000"/>
              </w:rPr>
            </w:pPr>
            <w:r>
              <w:rPr>
                <w:rFonts w:cs="Calibri"/>
                <w:color w:val="000000"/>
              </w:rPr>
              <w:t>“</w:t>
            </w:r>
            <w:r>
              <w:rPr>
                <w:rFonts w:cs="Calibri"/>
                <w:b/>
                <w:color w:val="2F5496"/>
              </w:rPr>
              <w:t>Bassa</w:t>
            </w:r>
            <w:r>
              <w:rPr>
                <w:rFonts w:cs="Calibri"/>
                <w:color w:val="000000"/>
              </w:rPr>
              <w:t>”: persone che richiedono un supporto orientativo di base per ricollocarsi nel mercato del lavoro in autonomia;</w:t>
            </w:r>
          </w:p>
          <w:p w14:paraId="4420F5E9" w14:textId="77777777" w:rsidR="005D6175" w:rsidRDefault="00000000">
            <w:pPr>
              <w:numPr>
                <w:ilvl w:val="0"/>
                <w:numId w:val="2"/>
              </w:numPr>
              <w:pBdr>
                <w:top w:val="nil"/>
                <w:left w:val="nil"/>
                <w:bottom w:val="nil"/>
                <w:right w:val="nil"/>
                <w:between w:val="nil"/>
              </w:pBdr>
              <w:spacing w:after="0" w:line="240" w:lineRule="auto"/>
              <w:jc w:val="both"/>
              <w:rPr>
                <w:rFonts w:cs="Calibri"/>
                <w:color w:val="000000"/>
              </w:rPr>
            </w:pPr>
            <w:r>
              <w:rPr>
                <w:rFonts w:cs="Calibri"/>
                <w:color w:val="000000"/>
              </w:rPr>
              <w:t>“</w:t>
            </w:r>
            <w:r>
              <w:rPr>
                <w:rFonts w:cs="Calibri"/>
                <w:b/>
                <w:color w:val="2F5496"/>
              </w:rPr>
              <w:t>Medio-bassa</w:t>
            </w:r>
            <w:r>
              <w:rPr>
                <w:rFonts w:cs="Calibri"/>
                <w:color w:val="000000"/>
              </w:rPr>
              <w:t xml:space="preserve">”: persone che necessitano di un supporto maggiore che li renda più autonomi nella ricerca di un impiego o li supporti nel trovare un rapporto di lavoro più duraturo; </w:t>
            </w:r>
          </w:p>
          <w:p w14:paraId="3F86CC61" w14:textId="77777777" w:rsidR="005D6175" w:rsidRDefault="00000000">
            <w:pPr>
              <w:numPr>
                <w:ilvl w:val="0"/>
                <w:numId w:val="2"/>
              </w:numPr>
              <w:pBdr>
                <w:top w:val="nil"/>
                <w:left w:val="nil"/>
                <w:bottom w:val="nil"/>
                <w:right w:val="nil"/>
                <w:between w:val="nil"/>
              </w:pBdr>
              <w:spacing w:after="0" w:line="240" w:lineRule="auto"/>
              <w:jc w:val="both"/>
              <w:rPr>
                <w:rFonts w:cs="Calibri"/>
                <w:color w:val="000000"/>
              </w:rPr>
            </w:pPr>
            <w:r>
              <w:rPr>
                <w:rFonts w:cs="Calibri"/>
                <w:color w:val="000000"/>
              </w:rPr>
              <w:t>“</w:t>
            </w:r>
            <w:r>
              <w:rPr>
                <w:rFonts w:cs="Calibri"/>
                <w:b/>
                <w:color w:val="2F5496"/>
              </w:rPr>
              <w:t>Medio-alta</w:t>
            </w:r>
            <w:r>
              <w:rPr>
                <w:rFonts w:cs="Calibri"/>
                <w:color w:val="000000"/>
              </w:rPr>
              <w:t xml:space="preserve">”: persone che necessitano di un supporto intensivo per la ricerca di un impiego; </w:t>
            </w:r>
          </w:p>
          <w:p w14:paraId="315B6BD2" w14:textId="77777777" w:rsidR="005D6175" w:rsidRDefault="00000000">
            <w:pPr>
              <w:numPr>
                <w:ilvl w:val="0"/>
                <w:numId w:val="2"/>
              </w:numPr>
              <w:pBdr>
                <w:top w:val="nil"/>
                <w:left w:val="nil"/>
                <w:bottom w:val="nil"/>
                <w:right w:val="nil"/>
                <w:between w:val="nil"/>
              </w:pBdr>
              <w:spacing w:after="0" w:line="240" w:lineRule="auto"/>
              <w:jc w:val="both"/>
              <w:rPr>
                <w:rFonts w:cs="Calibri"/>
                <w:color w:val="000000"/>
              </w:rPr>
            </w:pPr>
            <w:r>
              <w:rPr>
                <w:rFonts w:cs="Calibri"/>
                <w:color w:val="000000"/>
              </w:rPr>
              <w:t>“</w:t>
            </w:r>
            <w:r>
              <w:rPr>
                <w:rFonts w:cs="Calibri"/>
                <w:b/>
                <w:color w:val="2F5496"/>
              </w:rPr>
              <w:t>Alta</w:t>
            </w:r>
            <w:r>
              <w:rPr>
                <w:rFonts w:cs="Calibri"/>
                <w:color w:val="000000"/>
              </w:rPr>
              <w:t>”: persone che necessitano di un supporto intensivo per entrare/rientrare nel mercato del lavoro dopo un lungo periodo di disoccupazione</w:t>
            </w:r>
          </w:p>
        </w:tc>
      </w:tr>
      <w:tr w:rsidR="005D6175" w14:paraId="4DAA8AB4" w14:textId="77777777">
        <w:tc>
          <w:tcPr>
            <w:tcW w:w="1990" w:type="dxa"/>
            <w:tcBorders>
              <w:top w:val="dotted" w:sz="4" w:space="0" w:color="4472C4"/>
              <w:left w:val="dotted" w:sz="4" w:space="0" w:color="4472C4"/>
              <w:bottom w:val="dotted" w:sz="4" w:space="0" w:color="4472C4"/>
              <w:right w:val="dotted" w:sz="4" w:space="0" w:color="4472C4"/>
            </w:tcBorders>
          </w:tcPr>
          <w:p w14:paraId="22B8C9AE" w14:textId="77777777" w:rsidR="005D6175" w:rsidRDefault="00000000">
            <w:pPr>
              <w:spacing w:before="40" w:after="40" w:line="240" w:lineRule="auto"/>
              <w:jc w:val="center"/>
              <w:rPr>
                <w:rFonts w:cs="Calibri"/>
                <w:b/>
                <w:color w:val="2F5496"/>
                <w:highlight w:val="white"/>
              </w:rPr>
            </w:pPr>
            <w:r>
              <w:rPr>
                <w:b/>
                <w:color w:val="2F5496"/>
                <w:highlight w:val="white"/>
              </w:rPr>
              <w:t>Paniere dei servizi</w:t>
            </w:r>
          </w:p>
        </w:tc>
        <w:tc>
          <w:tcPr>
            <w:tcW w:w="8465" w:type="dxa"/>
            <w:tcBorders>
              <w:top w:val="dotted" w:sz="4" w:space="0" w:color="4472C4"/>
              <w:left w:val="dotted" w:sz="4" w:space="0" w:color="4472C4"/>
              <w:bottom w:val="dotted" w:sz="4" w:space="0" w:color="4472C4"/>
              <w:right w:val="dotted" w:sz="4" w:space="0" w:color="4472C4"/>
            </w:tcBorders>
          </w:tcPr>
          <w:p w14:paraId="261DD2E2" w14:textId="77777777" w:rsidR="005D6175" w:rsidRDefault="00000000">
            <w:pPr>
              <w:pBdr>
                <w:top w:val="nil"/>
                <w:left w:val="nil"/>
                <w:bottom w:val="nil"/>
                <w:right w:val="nil"/>
                <w:between w:val="nil"/>
              </w:pBdr>
              <w:spacing w:after="0" w:line="240" w:lineRule="auto"/>
              <w:jc w:val="both"/>
              <w:rPr>
                <w:rFonts w:cs="Calibri"/>
                <w:color w:val="000000"/>
                <w:highlight w:val="white"/>
              </w:rPr>
            </w:pPr>
            <w:r>
              <w:rPr>
                <w:rFonts w:cs="Calibri"/>
                <w:color w:val="000000"/>
                <w:highlight w:val="white"/>
              </w:rPr>
              <w:t>La persona ha a disposizione una Dote, ossia uno specifico budget che verrà riconosciuto all’operatore per il rimborso dei costi sostenuti per l’erogazione di servizi funzionali alle proprie esigenze di occupazione e/o qualificazione- L’operatore concorderà quali tra i seguenti servizi sono i più adeguati all’obiettivo professionale e accompagnerà il giovane in un percorso di inserimento nel mondo del lavoro:</w:t>
            </w:r>
          </w:p>
          <w:p w14:paraId="612FE431" w14:textId="77777777" w:rsidR="005D6175" w:rsidRDefault="00000000">
            <w:pPr>
              <w:spacing w:after="0" w:line="240" w:lineRule="auto"/>
              <w:jc w:val="both"/>
              <w:rPr>
                <w:rFonts w:cs="Calibri"/>
                <w:highlight w:val="white"/>
              </w:rPr>
            </w:pPr>
            <w:r>
              <w:rPr>
                <w:highlight w:val="white"/>
              </w:rPr>
              <w:t>1A – Accoglienza e informazioni sul programma</w:t>
            </w:r>
          </w:p>
          <w:p w14:paraId="05521F92" w14:textId="77777777" w:rsidR="005D6175" w:rsidRDefault="00000000">
            <w:pPr>
              <w:spacing w:after="0" w:line="240" w:lineRule="auto"/>
              <w:jc w:val="both"/>
              <w:rPr>
                <w:rFonts w:cs="Calibri"/>
                <w:highlight w:val="white"/>
              </w:rPr>
            </w:pPr>
            <w:r>
              <w:rPr>
                <w:highlight w:val="white"/>
              </w:rPr>
              <w:t>1B- Accesso alla garanzia (presa in carico, colloquio individuale e profiling, consulenza orientativa)</w:t>
            </w:r>
          </w:p>
          <w:p w14:paraId="3A91C981" w14:textId="77777777" w:rsidR="005D6175" w:rsidRDefault="00000000">
            <w:pPr>
              <w:spacing w:after="0" w:line="240" w:lineRule="auto"/>
              <w:jc w:val="both"/>
              <w:rPr>
                <w:rFonts w:cs="Calibri"/>
                <w:highlight w:val="white"/>
              </w:rPr>
            </w:pPr>
            <w:r>
              <w:rPr>
                <w:highlight w:val="white"/>
              </w:rPr>
              <w:t>1C- Orientamento specialistico o di II livello</w:t>
            </w:r>
          </w:p>
          <w:p w14:paraId="05EC2CD0" w14:textId="77777777" w:rsidR="005D6175" w:rsidRDefault="00000000">
            <w:pPr>
              <w:spacing w:after="0" w:line="240" w:lineRule="auto"/>
              <w:jc w:val="both"/>
              <w:rPr>
                <w:rFonts w:cs="Calibri"/>
                <w:highlight w:val="white"/>
              </w:rPr>
            </w:pPr>
            <w:r>
              <w:rPr>
                <w:highlight w:val="white"/>
              </w:rPr>
              <w:t>2A- Formazione mirata all’inserimento lavorativo</w:t>
            </w:r>
          </w:p>
          <w:p w14:paraId="507FDDF6" w14:textId="77777777" w:rsidR="005D6175" w:rsidRDefault="00000000">
            <w:pPr>
              <w:spacing w:after="0" w:line="240" w:lineRule="auto"/>
              <w:jc w:val="both"/>
              <w:rPr>
                <w:rFonts w:cs="Calibri"/>
                <w:highlight w:val="white"/>
              </w:rPr>
            </w:pPr>
            <w:r>
              <w:rPr>
                <w:highlight w:val="white"/>
              </w:rPr>
              <w:t>3- Accompagnamento al lavoro</w:t>
            </w:r>
          </w:p>
          <w:p w14:paraId="5472FB43" w14:textId="77777777" w:rsidR="005D6175" w:rsidRDefault="00000000">
            <w:pPr>
              <w:spacing w:after="0" w:line="240" w:lineRule="auto"/>
              <w:jc w:val="both"/>
              <w:rPr>
                <w:rFonts w:cs="Calibri"/>
                <w:highlight w:val="white"/>
              </w:rPr>
            </w:pPr>
            <w:r>
              <w:rPr>
                <w:highlight w:val="white"/>
              </w:rPr>
              <w:t>5- Promozione del tirocinio extracurriculare</w:t>
            </w:r>
          </w:p>
          <w:p w14:paraId="5A1E0B76" w14:textId="77777777" w:rsidR="005D6175" w:rsidRDefault="00000000">
            <w:pPr>
              <w:spacing w:after="0" w:line="240" w:lineRule="auto"/>
              <w:jc w:val="both"/>
              <w:rPr>
                <w:highlight w:val="white"/>
              </w:rPr>
            </w:pPr>
            <w:r>
              <w:rPr>
                <w:highlight w:val="white"/>
              </w:rPr>
              <w:t xml:space="preserve">Le misure 1D “Intercettazione e attivazione di giovani NEET svantaggiati”, 2-C “Assunzione e formazione”, 4-A “Apprendistato per la qualifica e il diploma”, 4-C “Apprendistato di alta formazione e ricerca”, 6 “Servizio civile”, 7.1 “Sostegno all’autoimpiego e all’autoimprenditorialità”, 8 “Mobilità professionale transnazionale e territoriale” potranno essere attivati a seguito di specifici provvedimenti. La misura 2-B “Reinserimento di giovani 15-18enni in percorsi formativi” non è stata programmata all’interno del Piano regionale di attuazione della Garanzia Giovani in quanto ai giovani drop-out sono garantiti gli interventi </w:t>
            </w:r>
            <w:r>
              <w:rPr>
                <w:highlight w:val="white"/>
              </w:rPr>
              <w:lastRenderedPageBreak/>
              <w:t>per l’assolvimento dell’obbligo di istruzione e per il diritto dovere di istruzione e formazione, attaverso gli strumenti ordinari regionali all’interno del sistema di Istruzione e Istruzione e formazione professionale (percorsi di IeFP nel sistema duale, apprendistato di I livello)</w:t>
            </w:r>
          </w:p>
        </w:tc>
      </w:tr>
      <w:tr w:rsidR="005D6175" w14:paraId="6C34A2F0" w14:textId="77777777">
        <w:tc>
          <w:tcPr>
            <w:tcW w:w="1990" w:type="dxa"/>
            <w:tcBorders>
              <w:top w:val="dotted" w:sz="4" w:space="0" w:color="4472C4"/>
              <w:left w:val="dotted" w:sz="4" w:space="0" w:color="4472C4"/>
              <w:bottom w:val="dotted" w:sz="4" w:space="0" w:color="4472C4"/>
              <w:right w:val="dotted" w:sz="4" w:space="0" w:color="4472C4"/>
            </w:tcBorders>
          </w:tcPr>
          <w:p w14:paraId="2297F741" w14:textId="77777777" w:rsidR="005D6175" w:rsidRDefault="00000000">
            <w:pPr>
              <w:spacing w:before="40" w:after="40" w:line="240" w:lineRule="auto"/>
              <w:jc w:val="center"/>
              <w:rPr>
                <w:b/>
                <w:color w:val="2F5496"/>
              </w:rPr>
            </w:pPr>
            <w:r>
              <w:rPr>
                <w:b/>
                <w:color w:val="2F5496"/>
              </w:rPr>
              <w:lastRenderedPageBreak/>
              <w:t>Progetti finanziabili</w:t>
            </w:r>
          </w:p>
        </w:tc>
        <w:tc>
          <w:tcPr>
            <w:tcW w:w="8465" w:type="dxa"/>
            <w:tcBorders>
              <w:top w:val="dotted" w:sz="4" w:space="0" w:color="4472C4"/>
              <w:left w:val="dotted" w:sz="4" w:space="0" w:color="4472C4"/>
              <w:bottom w:val="dotted" w:sz="4" w:space="0" w:color="4472C4"/>
              <w:right w:val="dotted" w:sz="4" w:space="0" w:color="4472C4"/>
            </w:tcBorders>
          </w:tcPr>
          <w:p w14:paraId="3AF5469D" w14:textId="77777777" w:rsidR="005D6175" w:rsidRDefault="00000000">
            <w:pPr>
              <w:spacing w:after="0" w:line="240" w:lineRule="auto"/>
              <w:jc w:val="both"/>
              <w:rPr>
                <w:rFonts w:cs="Calibri"/>
              </w:rPr>
            </w:pPr>
            <w:r>
              <w:t xml:space="preserve">Le spese e i servizi ammissibili sono definiti all’interno del paniere dei servizi e sono diversificati in funzione del bisogno del giovane. </w:t>
            </w:r>
          </w:p>
          <w:p w14:paraId="6EA2D23E" w14:textId="77777777" w:rsidR="005D6175" w:rsidRDefault="00000000">
            <w:pPr>
              <w:numPr>
                <w:ilvl w:val="0"/>
                <w:numId w:val="3"/>
              </w:numPr>
              <w:pBdr>
                <w:top w:val="nil"/>
                <w:left w:val="nil"/>
                <w:bottom w:val="nil"/>
                <w:right w:val="nil"/>
                <w:between w:val="nil"/>
              </w:pBdr>
              <w:spacing w:after="0" w:line="240" w:lineRule="auto"/>
              <w:jc w:val="both"/>
              <w:rPr>
                <w:rFonts w:cs="Calibri"/>
                <w:color w:val="000000"/>
              </w:rPr>
            </w:pPr>
            <w:r>
              <w:rPr>
                <w:rFonts w:cs="Calibri"/>
                <w:color w:val="000000"/>
              </w:rPr>
              <w:t>Nello specifico i servizi possono essere combinati in modo flessibile, nel rispetto dei criteri indicati: Il percorso deve prevedere obbligatoriamente una misura correlata ad un risultato di inserimento lavorativo o di tirocinio: 3 o 5;</w:t>
            </w:r>
          </w:p>
          <w:p w14:paraId="77689339" w14:textId="77777777" w:rsidR="005D6175" w:rsidRDefault="00000000">
            <w:pPr>
              <w:numPr>
                <w:ilvl w:val="0"/>
                <w:numId w:val="3"/>
              </w:numPr>
              <w:pBdr>
                <w:top w:val="nil"/>
                <w:left w:val="nil"/>
                <w:bottom w:val="nil"/>
                <w:right w:val="nil"/>
                <w:between w:val="nil"/>
              </w:pBdr>
              <w:spacing w:after="0" w:line="240" w:lineRule="auto"/>
              <w:jc w:val="both"/>
              <w:rPr>
                <w:rFonts w:cs="Calibri"/>
                <w:color w:val="000000"/>
              </w:rPr>
            </w:pPr>
            <w:r>
              <w:rPr>
                <w:rFonts w:cs="Calibri"/>
                <w:color w:val="000000"/>
              </w:rPr>
              <w:t>La misura 1-C (min. 1 h) è obbligatoria;</w:t>
            </w:r>
          </w:p>
          <w:p w14:paraId="01E4F7E8" w14:textId="77777777" w:rsidR="005D6175" w:rsidRDefault="00000000">
            <w:pPr>
              <w:numPr>
                <w:ilvl w:val="0"/>
                <w:numId w:val="3"/>
              </w:numPr>
              <w:pBdr>
                <w:top w:val="nil"/>
                <w:left w:val="nil"/>
                <w:bottom w:val="nil"/>
                <w:right w:val="nil"/>
                <w:between w:val="nil"/>
              </w:pBdr>
              <w:spacing w:after="0" w:line="240" w:lineRule="auto"/>
              <w:jc w:val="both"/>
              <w:rPr>
                <w:rFonts w:cs="Calibri"/>
                <w:color w:val="000000"/>
              </w:rPr>
            </w:pPr>
            <w:r>
              <w:rPr>
                <w:rFonts w:cs="Calibri"/>
                <w:color w:val="000000"/>
              </w:rPr>
              <w:t>La misura 2-A è erogabile solo qualora il PIP preveda la misura 3.</w:t>
            </w:r>
          </w:p>
          <w:p w14:paraId="48073F0C" w14:textId="77777777" w:rsidR="005D6175" w:rsidRDefault="00000000">
            <w:pPr>
              <w:spacing w:after="0" w:line="240" w:lineRule="auto"/>
              <w:jc w:val="both"/>
              <w:rPr>
                <w:rFonts w:cs="Calibri"/>
              </w:rPr>
            </w:pPr>
            <w:r>
              <w:t xml:space="preserve">Pertanto, le combinazioni possibili risultano 2: </w:t>
            </w:r>
          </w:p>
          <w:p w14:paraId="590A78F1" w14:textId="77777777" w:rsidR="005D6175" w:rsidRDefault="00000000">
            <w:pPr>
              <w:numPr>
                <w:ilvl w:val="0"/>
                <w:numId w:val="5"/>
              </w:numPr>
              <w:pBdr>
                <w:top w:val="nil"/>
                <w:left w:val="nil"/>
                <w:bottom w:val="nil"/>
                <w:right w:val="nil"/>
                <w:between w:val="nil"/>
              </w:pBdr>
              <w:spacing w:after="0" w:line="240" w:lineRule="auto"/>
              <w:jc w:val="both"/>
              <w:rPr>
                <w:rFonts w:cs="Calibri"/>
                <w:color w:val="000000"/>
              </w:rPr>
            </w:pPr>
            <w:r>
              <w:rPr>
                <w:rFonts w:cs="Calibri"/>
                <w:color w:val="000000"/>
              </w:rPr>
              <w:t xml:space="preserve">di </w:t>
            </w:r>
            <w:r>
              <w:rPr>
                <w:rFonts w:cs="Calibri"/>
                <w:b/>
                <w:color w:val="2F5496"/>
              </w:rPr>
              <w:t>inserimento lavorativo</w:t>
            </w:r>
            <w:r>
              <w:rPr>
                <w:rFonts w:cs="Calibri"/>
                <w:color w:val="000000"/>
              </w:rPr>
              <w:t xml:space="preserve"> con soli servizi al lavoro: 1-C + 5/3 o 5+3;</w:t>
            </w:r>
          </w:p>
          <w:p w14:paraId="01CE8E45" w14:textId="77777777" w:rsidR="005D6175" w:rsidRDefault="00000000">
            <w:pPr>
              <w:numPr>
                <w:ilvl w:val="0"/>
                <w:numId w:val="4"/>
              </w:numPr>
              <w:pBdr>
                <w:top w:val="nil"/>
                <w:left w:val="nil"/>
                <w:bottom w:val="nil"/>
                <w:right w:val="nil"/>
                <w:between w:val="nil"/>
              </w:pBdr>
              <w:spacing w:after="0" w:line="240" w:lineRule="auto"/>
              <w:jc w:val="both"/>
              <w:rPr>
                <w:rFonts w:cs="Calibri"/>
                <w:color w:val="000000"/>
              </w:rPr>
            </w:pPr>
            <w:r>
              <w:rPr>
                <w:rFonts w:cs="Calibri"/>
                <w:color w:val="000000"/>
              </w:rPr>
              <w:t xml:space="preserve">di </w:t>
            </w:r>
            <w:r>
              <w:rPr>
                <w:rFonts w:cs="Calibri"/>
                <w:b/>
                <w:color w:val="2F5496"/>
              </w:rPr>
              <w:t>inserimento lavorativo con servizio di formazione pre-assunzione e servizi al lavoro</w:t>
            </w:r>
            <w:r>
              <w:rPr>
                <w:rFonts w:cs="Calibri"/>
                <w:color w:val="000000"/>
              </w:rPr>
              <w:t>: 1-C + 2-A + 3 o 5+3;</w:t>
            </w:r>
          </w:p>
        </w:tc>
      </w:tr>
      <w:tr w:rsidR="005D6175" w14:paraId="6D2F8C96" w14:textId="77777777">
        <w:tc>
          <w:tcPr>
            <w:tcW w:w="10455" w:type="dxa"/>
            <w:gridSpan w:val="2"/>
            <w:tcBorders>
              <w:top w:val="dotted" w:sz="4" w:space="0" w:color="4472C4"/>
              <w:left w:val="dotted" w:sz="4" w:space="0" w:color="4472C4"/>
              <w:bottom w:val="dotted" w:sz="4" w:space="0" w:color="4472C4"/>
              <w:right w:val="dotted" w:sz="4" w:space="0" w:color="4472C4"/>
            </w:tcBorders>
          </w:tcPr>
          <w:p w14:paraId="3A5BC208" w14:textId="77777777" w:rsidR="005D6175" w:rsidRDefault="00000000">
            <w:pPr>
              <w:spacing w:before="40" w:after="40" w:line="240" w:lineRule="auto"/>
              <w:rPr>
                <w:rFonts w:cs="Calibri"/>
              </w:rPr>
            </w:pPr>
            <w:r>
              <w:rPr>
                <w:b/>
                <w:color w:val="2F5496"/>
              </w:rPr>
              <w:t>SERVIZI ATTIVABILI</w:t>
            </w:r>
          </w:p>
        </w:tc>
      </w:tr>
      <w:tr w:rsidR="005D6175" w14:paraId="18578EA6" w14:textId="77777777">
        <w:tc>
          <w:tcPr>
            <w:tcW w:w="1990" w:type="dxa"/>
            <w:tcBorders>
              <w:top w:val="dotted" w:sz="4" w:space="0" w:color="4472C4"/>
              <w:left w:val="dotted" w:sz="4" w:space="0" w:color="4472C4"/>
              <w:bottom w:val="dotted" w:sz="4" w:space="0" w:color="4472C4"/>
              <w:right w:val="dotted" w:sz="4" w:space="0" w:color="4472C4"/>
            </w:tcBorders>
          </w:tcPr>
          <w:p w14:paraId="543154F8" w14:textId="77777777" w:rsidR="005D6175" w:rsidRDefault="005D6175">
            <w:pPr>
              <w:tabs>
                <w:tab w:val="left" w:pos="1260"/>
              </w:tabs>
              <w:spacing w:before="40" w:after="40" w:line="240" w:lineRule="auto"/>
              <w:jc w:val="center"/>
              <w:rPr>
                <w:b/>
                <w:color w:val="2F5496"/>
              </w:rPr>
            </w:pPr>
          </w:p>
          <w:p w14:paraId="03959F50" w14:textId="77777777" w:rsidR="005D6175" w:rsidRDefault="005D6175">
            <w:pPr>
              <w:tabs>
                <w:tab w:val="left" w:pos="1260"/>
              </w:tabs>
              <w:spacing w:before="40" w:after="40" w:line="240" w:lineRule="auto"/>
              <w:jc w:val="center"/>
              <w:rPr>
                <w:b/>
                <w:color w:val="2F5496"/>
              </w:rPr>
            </w:pPr>
          </w:p>
          <w:p w14:paraId="1E0D8526" w14:textId="77777777" w:rsidR="005D6175" w:rsidRDefault="005D6175">
            <w:pPr>
              <w:tabs>
                <w:tab w:val="left" w:pos="1260"/>
              </w:tabs>
              <w:spacing w:before="40" w:after="40" w:line="240" w:lineRule="auto"/>
              <w:jc w:val="center"/>
              <w:rPr>
                <w:b/>
                <w:color w:val="2F5496"/>
              </w:rPr>
            </w:pPr>
          </w:p>
          <w:p w14:paraId="07B9C86B" w14:textId="77777777" w:rsidR="005D6175" w:rsidRDefault="00000000">
            <w:pPr>
              <w:tabs>
                <w:tab w:val="left" w:pos="1260"/>
              </w:tabs>
              <w:spacing w:before="40" w:after="40" w:line="240" w:lineRule="auto"/>
              <w:jc w:val="center"/>
              <w:rPr>
                <w:b/>
                <w:color w:val="2F5496"/>
              </w:rPr>
            </w:pPr>
            <w:r>
              <w:rPr>
                <w:b/>
                <w:color w:val="2F5496"/>
              </w:rPr>
              <w:t>Scheda 1) Accoglienza, Presa In Carico, Orientamento</w:t>
            </w:r>
          </w:p>
        </w:tc>
        <w:tc>
          <w:tcPr>
            <w:tcW w:w="8465" w:type="dxa"/>
            <w:tcBorders>
              <w:top w:val="dotted" w:sz="4" w:space="0" w:color="4472C4"/>
              <w:left w:val="dotted" w:sz="4" w:space="0" w:color="4472C4"/>
              <w:bottom w:val="dotted" w:sz="4" w:space="0" w:color="4472C4"/>
              <w:right w:val="dotted" w:sz="4" w:space="0" w:color="4472C4"/>
            </w:tcBorders>
          </w:tcPr>
          <w:p w14:paraId="7D4A5A87" w14:textId="77777777" w:rsidR="005D6175" w:rsidRDefault="00000000">
            <w:pPr>
              <w:spacing w:after="0" w:line="240" w:lineRule="auto"/>
              <w:jc w:val="both"/>
              <w:rPr>
                <w:rFonts w:cs="Calibri"/>
              </w:rPr>
            </w:pPr>
            <w:r>
              <w:t xml:space="preserve">Il servizio </w:t>
            </w:r>
            <w:r>
              <w:rPr>
                <w:b/>
                <w:color w:val="2F5496"/>
              </w:rPr>
              <w:t>1-A “Accoglienza e informazioni sul programma”</w:t>
            </w:r>
            <w:r>
              <w:t xml:space="preserve"> è finalizzato a informare il giovane sulle opportunità e i servizi del Programma IOG attivi in Lombardia. </w:t>
            </w:r>
          </w:p>
          <w:p w14:paraId="287FECF3" w14:textId="77777777" w:rsidR="005D6175" w:rsidRDefault="00000000">
            <w:pPr>
              <w:spacing w:after="0" w:line="240" w:lineRule="auto"/>
              <w:jc w:val="both"/>
            </w:pPr>
            <w:r>
              <w:t xml:space="preserve">Il servizio </w:t>
            </w:r>
            <w:r>
              <w:rPr>
                <w:b/>
                <w:color w:val="2F5496"/>
              </w:rPr>
              <w:t>1-B “Accesso alla garanzia (presa in carico, colloquio individuale e profiling, consulenza orientativa</w:t>
            </w:r>
            <w:r>
              <w:t>)” è finalizzato alla profilazione del giovane e all’elaborazione del Patto di servizio.</w:t>
            </w:r>
          </w:p>
          <w:p w14:paraId="4EB1DC26" w14:textId="77777777" w:rsidR="005D6175" w:rsidRDefault="00000000">
            <w:pPr>
              <w:spacing w:after="0" w:line="240" w:lineRule="auto"/>
              <w:jc w:val="both"/>
              <w:rPr>
                <w:rFonts w:cs="Calibri"/>
              </w:rPr>
            </w:pPr>
            <w:r>
              <w:t>Il servizio</w:t>
            </w:r>
            <w:r>
              <w:rPr>
                <w:b/>
              </w:rPr>
              <w:t xml:space="preserve"> </w:t>
            </w:r>
            <w:r>
              <w:rPr>
                <w:b/>
                <w:color w:val="2F5496"/>
              </w:rPr>
              <w:t>1-C “Orientamento specialistico o di II livello” (bilancio di competenze, colloquio individuale, tutoraggio attività formativa, attestazione validazione e certificazione competenze acquisite)</w:t>
            </w:r>
            <w:r>
              <w:t xml:space="preserve"> è finalizzato all’individuazione delle competenze possedute dal destinatario e alla costruzione di un progetto di sviluppo personale e professionale. L’attività di “Colloquio individuale”, nella misura minima di 1 h fino ad una massima di 2 h, è contestuale alla definizione del Piano di Intervento Personalizzato e alla richiesta di dote. Pertanto, nello stesso giorno in cui viene effettuata la richiesta di dote, l’operatore è tenuto a realizzare almeno 1 h (fino a max. 2h) di tale attività, allo scopo di perfezionare la declinazione degli obiettivi da raggiungere attraverso i servizi inclusi nel PIP. Le ulteriori ore del servizio 1-C possono essere realizzate successivamente alla stipula del PIP, nel rispetto del monte di ore totale, differenziato per le fasce di aiuto: per le fasce bassa e medio-bassa sono riconoscibili complessivamente fino a 4 h; per le fasce medio-alta e alta tale monte orario è elevabile fino a 12 h, comprensivo di 8 h aggiuntive relative all’attività di “Attestazione delle competenze”.</w:t>
            </w:r>
          </w:p>
        </w:tc>
      </w:tr>
      <w:tr w:rsidR="005D6175" w14:paraId="5B5D6F88" w14:textId="77777777">
        <w:tc>
          <w:tcPr>
            <w:tcW w:w="1990" w:type="dxa"/>
            <w:tcBorders>
              <w:top w:val="dotted" w:sz="4" w:space="0" w:color="4472C4"/>
              <w:left w:val="dotted" w:sz="4" w:space="0" w:color="4472C4"/>
              <w:bottom w:val="dotted" w:sz="4" w:space="0" w:color="4472C4"/>
              <w:right w:val="dotted" w:sz="4" w:space="0" w:color="4472C4"/>
            </w:tcBorders>
          </w:tcPr>
          <w:p w14:paraId="72083EE8" w14:textId="77777777" w:rsidR="005D6175" w:rsidRDefault="005D6175">
            <w:pPr>
              <w:tabs>
                <w:tab w:val="left" w:pos="1260"/>
              </w:tabs>
              <w:spacing w:before="40" w:after="40" w:line="240" w:lineRule="auto"/>
              <w:jc w:val="center"/>
              <w:rPr>
                <w:b/>
                <w:color w:val="2F5496"/>
              </w:rPr>
            </w:pPr>
          </w:p>
          <w:p w14:paraId="41624ADC" w14:textId="77777777" w:rsidR="005D6175" w:rsidRDefault="00000000">
            <w:pPr>
              <w:tabs>
                <w:tab w:val="left" w:pos="1260"/>
              </w:tabs>
              <w:spacing w:before="40" w:after="40" w:line="240" w:lineRule="auto"/>
              <w:jc w:val="center"/>
              <w:rPr>
                <w:b/>
                <w:color w:val="2F5496"/>
              </w:rPr>
            </w:pPr>
            <w:r>
              <w:rPr>
                <w:b/>
                <w:color w:val="2F5496"/>
              </w:rPr>
              <w:t>SCHEDA 2-A) Formazione Mirata All’inserimento Lavorativo</w:t>
            </w:r>
          </w:p>
        </w:tc>
        <w:tc>
          <w:tcPr>
            <w:tcW w:w="8465" w:type="dxa"/>
            <w:tcBorders>
              <w:top w:val="dotted" w:sz="4" w:space="0" w:color="4472C4"/>
              <w:left w:val="dotted" w:sz="4" w:space="0" w:color="4472C4"/>
              <w:bottom w:val="dotted" w:sz="4" w:space="0" w:color="4472C4"/>
              <w:right w:val="dotted" w:sz="4" w:space="0" w:color="4472C4"/>
            </w:tcBorders>
          </w:tcPr>
          <w:p w14:paraId="72DEA812" w14:textId="77777777" w:rsidR="005D6175" w:rsidRDefault="00000000">
            <w:pPr>
              <w:tabs>
                <w:tab w:val="left" w:pos="1260"/>
              </w:tabs>
              <w:spacing w:after="0" w:line="240" w:lineRule="auto"/>
              <w:jc w:val="both"/>
              <w:rPr>
                <w:rFonts w:cs="Calibri"/>
              </w:rPr>
            </w:pPr>
            <w:r>
              <w:t>Il servizio è finalizzato a fornire le competenze necessarie a facilitare l’inserimento lavorativo e prevede l’erogazione da parte dell’operatore di corsi di formazione permanente, individuali/individualizzati (max. 3 partecipanti), a partire dall’offerta formativa presentata per l’iniziativa. La durata minima di un corso è di 8 h.</w:t>
            </w:r>
          </w:p>
          <w:p w14:paraId="62E2A5AF" w14:textId="77777777" w:rsidR="005D6175" w:rsidRDefault="00000000">
            <w:pPr>
              <w:tabs>
                <w:tab w:val="left" w:pos="1260"/>
              </w:tabs>
              <w:spacing w:after="0" w:line="240" w:lineRule="auto"/>
              <w:jc w:val="both"/>
              <w:rPr>
                <w:rFonts w:cs="Calibri"/>
              </w:rPr>
            </w:pPr>
            <w:r>
              <w:t xml:space="preserve">I giovani che, alla data della presa in carico da parte del soggetto titolato, hanno conseguito un titolo di studio da non più di 120 giorni (a decorrere dalla data di conseguimento del titolo) non possono usufruire del servizio 2-A. </w:t>
            </w:r>
          </w:p>
          <w:p w14:paraId="2BFB2130" w14:textId="77777777" w:rsidR="005D6175" w:rsidRDefault="00000000">
            <w:pPr>
              <w:tabs>
                <w:tab w:val="left" w:pos="1260"/>
              </w:tabs>
              <w:spacing w:after="0" w:line="240" w:lineRule="auto"/>
              <w:jc w:val="both"/>
              <w:rPr>
                <w:rFonts w:cs="Calibri"/>
              </w:rPr>
            </w:pPr>
            <w:r>
              <w:t xml:space="preserve">I corsi formativi della misura 2-A) devono essere erogati preliminarmente all’avvio di un rapporto di lavoro, ossia prima della stipula di un contratto di lavoro e della trasmissione della comunicazione obbligatoria di avviamento. </w:t>
            </w:r>
          </w:p>
          <w:p w14:paraId="5C34F684" w14:textId="77777777" w:rsidR="005D6175" w:rsidRDefault="00000000">
            <w:pPr>
              <w:tabs>
                <w:tab w:val="left" w:pos="1260"/>
              </w:tabs>
              <w:spacing w:after="0" w:line="240" w:lineRule="auto"/>
              <w:jc w:val="both"/>
              <w:rPr>
                <w:rFonts w:cs="Calibri"/>
              </w:rPr>
            </w:pPr>
            <w:r>
              <w:t xml:space="preserve">Il servizio 2-A) non è riconosciuto nel caso in cui sia erogato a destinatari di fascia di intensità di aiuto bassa; esso è riconoscibile sulla base delle ore effettivamente erogate: nella fascia di </w:t>
            </w:r>
            <w:r>
              <w:lastRenderedPageBreak/>
              <w:t xml:space="preserve">intensità di aiuto medio-bassa per il 100% a condizione del conseguimento di un risultato occupazionale, nelle fasce di intensità di aiuto medio-alta e alta per il 50% a processo e per la restante quota del 50% a condizione del conseguimento di un risultato. </w:t>
            </w:r>
          </w:p>
          <w:p w14:paraId="76E21C1D" w14:textId="77777777" w:rsidR="005D6175" w:rsidRDefault="00000000">
            <w:pPr>
              <w:tabs>
                <w:tab w:val="left" w:pos="1260"/>
              </w:tabs>
              <w:spacing w:after="0" w:line="240" w:lineRule="auto"/>
              <w:jc w:val="both"/>
              <w:rPr>
                <w:rFonts w:cs="Calibri"/>
              </w:rPr>
            </w:pPr>
            <w:r>
              <w:t>Il finanziamento pubblico rimborsa i costi sostenuti per l’attività formativa nel limite delle soglie massime, differenziate per intensità di fascia di aiuto.</w:t>
            </w:r>
          </w:p>
        </w:tc>
      </w:tr>
      <w:tr w:rsidR="005D6175" w14:paraId="610A8ADF" w14:textId="77777777">
        <w:tc>
          <w:tcPr>
            <w:tcW w:w="1990" w:type="dxa"/>
            <w:tcBorders>
              <w:top w:val="dotted" w:sz="4" w:space="0" w:color="4472C4"/>
              <w:left w:val="dotted" w:sz="4" w:space="0" w:color="4472C4"/>
              <w:bottom w:val="dotted" w:sz="4" w:space="0" w:color="4472C4"/>
              <w:right w:val="dotted" w:sz="4" w:space="0" w:color="4472C4"/>
            </w:tcBorders>
          </w:tcPr>
          <w:p w14:paraId="2A8C9CEF" w14:textId="77777777" w:rsidR="005D6175" w:rsidRDefault="005D6175">
            <w:pPr>
              <w:tabs>
                <w:tab w:val="left" w:pos="1260"/>
              </w:tabs>
              <w:spacing w:before="40" w:after="40" w:line="240" w:lineRule="auto"/>
              <w:jc w:val="center"/>
              <w:rPr>
                <w:b/>
                <w:color w:val="2F5496"/>
              </w:rPr>
            </w:pPr>
          </w:p>
          <w:p w14:paraId="6F6D3F35" w14:textId="77777777" w:rsidR="005D6175" w:rsidRDefault="005D6175">
            <w:pPr>
              <w:tabs>
                <w:tab w:val="left" w:pos="1260"/>
              </w:tabs>
              <w:spacing w:before="40" w:after="40" w:line="240" w:lineRule="auto"/>
              <w:jc w:val="center"/>
              <w:rPr>
                <w:b/>
                <w:color w:val="2F5496"/>
              </w:rPr>
            </w:pPr>
          </w:p>
          <w:p w14:paraId="4D1ED1E8" w14:textId="77777777" w:rsidR="005D6175" w:rsidRDefault="00000000">
            <w:pPr>
              <w:tabs>
                <w:tab w:val="left" w:pos="1260"/>
              </w:tabs>
              <w:spacing w:before="40" w:after="40" w:line="240" w:lineRule="auto"/>
              <w:jc w:val="center"/>
              <w:rPr>
                <w:b/>
                <w:color w:val="2F5496"/>
              </w:rPr>
            </w:pPr>
            <w:r>
              <w:rPr>
                <w:b/>
                <w:color w:val="2F5496"/>
              </w:rPr>
              <w:t>SCHEDA 3) Accompagnamento al Lavoro</w:t>
            </w:r>
          </w:p>
        </w:tc>
        <w:tc>
          <w:tcPr>
            <w:tcW w:w="8465" w:type="dxa"/>
            <w:tcBorders>
              <w:top w:val="dotted" w:sz="4" w:space="0" w:color="4472C4"/>
              <w:left w:val="dotted" w:sz="4" w:space="0" w:color="4472C4"/>
              <w:bottom w:val="dotted" w:sz="4" w:space="0" w:color="4472C4"/>
              <w:right w:val="dotted" w:sz="4" w:space="0" w:color="4472C4"/>
            </w:tcBorders>
          </w:tcPr>
          <w:p w14:paraId="3267A2A6" w14:textId="77777777" w:rsidR="005D6175" w:rsidRDefault="00000000">
            <w:pPr>
              <w:spacing w:after="0" w:line="240" w:lineRule="auto"/>
              <w:jc w:val="both"/>
              <w:rPr>
                <w:rFonts w:cs="Calibri"/>
              </w:rPr>
            </w:pPr>
            <w:r>
              <w:t xml:space="preserve">Il servizio 3 è finalizzato all’attivazione del giovane, potenziandone la proattività e la capacità di autopromozione sul mercato del lavoro. L’attivazione deve condurre come esito ad un rapporto di lavoro a tempo indeterminato, determinato o in somministrazione (della durata minima di 180 gg. continuativi con la stessa azienda anche con proroghe) o in apprendistato entro il periodo di durata massima della dote di 180 giorni. </w:t>
            </w:r>
          </w:p>
          <w:p w14:paraId="4CD78D53" w14:textId="77777777" w:rsidR="005D6175" w:rsidRDefault="00000000">
            <w:pPr>
              <w:spacing w:after="0" w:line="240" w:lineRule="auto"/>
              <w:jc w:val="both"/>
              <w:rPr>
                <w:rFonts w:cs="Calibri"/>
              </w:rPr>
            </w:pPr>
            <w:r>
              <w:t>Il servizio prevede l’erogazione da parte dell’operatore delle seguenti attività: scouting delle opportunità occupazionali; promozione dei profili, delle competenze e della professionalità dei giovani presso il sistema imprenditoriale; pre-selezione; accesso alle misure individuate; accompagnamento del giovane nell’accesso al percorso individuato e nell’attivazione delle misure collegate; accompagnamento del giovane nella prima fase di inserimento; assistenza al sistema della Domanda nella definizione del progetto formativo legato al contratto di apprendistato; assistenza al sistema della Domanda nell’individuazione della tipologia contrattuale più funzionale al fabbisogno manifestato (ad esempio tra contratto di apprendistato e tempo determinato).</w:t>
            </w:r>
          </w:p>
          <w:p w14:paraId="04558CE3" w14:textId="77777777" w:rsidR="005D6175" w:rsidRDefault="00000000">
            <w:pPr>
              <w:spacing w:after="0" w:line="240" w:lineRule="auto"/>
              <w:jc w:val="both"/>
              <w:rPr>
                <w:rFonts w:cs="Calibri"/>
              </w:rPr>
            </w:pPr>
            <w:r>
              <w:t>A pena di decadenza il termine ultimo per la rendicontazione del risultato occupazionale è stabilito in 30 giorni dalla data prevista di conclusione dell’ultimo servizio attivato. Il rimborso del servizio è subordinato alla verifica di effettiva conservazione del rapporto di lavoro per un periodo minimo di almeno 90 giorni.</w:t>
            </w:r>
          </w:p>
        </w:tc>
      </w:tr>
      <w:tr w:rsidR="005D6175" w14:paraId="7F44476F" w14:textId="77777777">
        <w:tc>
          <w:tcPr>
            <w:tcW w:w="1990" w:type="dxa"/>
            <w:tcBorders>
              <w:top w:val="dotted" w:sz="4" w:space="0" w:color="4472C4"/>
              <w:left w:val="dotted" w:sz="4" w:space="0" w:color="4472C4"/>
              <w:bottom w:val="dotted" w:sz="4" w:space="0" w:color="4472C4"/>
              <w:right w:val="dotted" w:sz="4" w:space="0" w:color="4472C4"/>
            </w:tcBorders>
          </w:tcPr>
          <w:p w14:paraId="6C7E85DE" w14:textId="77777777" w:rsidR="005D6175" w:rsidRDefault="00000000">
            <w:pPr>
              <w:tabs>
                <w:tab w:val="left" w:pos="1260"/>
              </w:tabs>
              <w:spacing w:before="40" w:after="40" w:line="240" w:lineRule="auto"/>
              <w:jc w:val="center"/>
              <w:rPr>
                <w:b/>
                <w:color w:val="2F5496"/>
              </w:rPr>
            </w:pPr>
            <w:r>
              <w:rPr>
                <w:b/>
                <w:color w:val="2F5496"/>
              </w:rPr>
              <w:t>SCHEDA 5) TIROCINIO EXTRA-CURRICULARE</w:t>
            </w:r>
          </w:p>
        </w:tc>
        <w:tc>
          <w:tcPr>
            <w:tcW w:w="8465" w:type="dxa"/>
            <w:tcBorders>
              <w:top w:val="dotted" w:sz="4" w:space="0" w:color="4472C4"/>
              <w:left w:val="dotted" w:sz="4" w:space="0" w:color="4472C4"/>
              <w:bottom w:val="dotted" w:sz="4" w:space="0" w:color="4472C4"/>
              <w:right w:val="dotted" w:sz="4" w:space="0" w:color="4472C4"/>
            </w:tcBorders>
          </w:tcPr>
          <w:p w14:paraId="4CE29553" w14:textId="77777777" w:rsidR="005D6175" w:rsidRDefault="00000000">
            <w:pPr>
              <w:spacing w:after="0" w:line="240" w:lineRule="auto"/>
              <w:jc w:val="both"/>
              <w:rPr>
                <w:rFonts w:cs="Calibri"/>
              </w:rPr>
            </w:pPr>
            <w:r>
              <w:t>Il servizio è finalizzato all’attivazione di un rapporto di tirocinio extracurriculare, quale opportunità formativa on the job. Il riconoscimento economico del servizio è subordinato alla condizione che una parte del tirocinio, pari ad almeno 91 giorni, sia realizzata nell’ambito della dote. La durata massima realizzabile nella dote è di 180 giorni, elevabile a 360 giorni per persone disabili.</w:t>
            </w:r>
          </w:p>
          <w:p w14:paraId="2B877EC6" w14:textId="77777777" w:rsidR="005D6175" w:rsidRDefault="00000000">
            <w:pPr>
              <w:spacing w:after="0" w:line="240" w:lineRule="auto"/>
              <w:jc w:val="both"/>
              <w:rPr>
                <w:rFonts w:cs="Calibri"/>
              </w:rPr>
            </w:pPr>
            <w:r>
              <w:t>Il servizio è riconosciuto a risultato, secondo gli importi, proporzionali alla classe di profilazione del giovane.</w:t>
            </w:r>
          </w:p>
          <w:p w14:paraId="081741CF" w14:textId="77777777" w:rsidR="005D6175" w:rsidRDefault="00000000">
            <w:pPr>
              <w:spacing w:after="0" w:line="240" w:lineRule="auto"/>
              <w:jc w:val="both"/>
              <w:rPr>
                <w:rFonts w:cs="Calibri"/>
              </w:rPr>
            </w:pPr>
            <w:r>
              <w:t xml:space="preserve">Nel caso in cui il tirocinio extracurriculare promosso dall’operatore, con durata compresa fra i 91 e i 180 giorni continuativi (360 giorni per soggetti disabili o svantaggiati), dia luogo, entro 30 giorni dalla conclusione dello stesso, ad un contratto di lavoro di durata minima pari o superiore a 180 giorni (non sono ammesse proroghe), con il medesimo datore di lavoro presso cui è stato effettuato il tirocinio o con un altro datore di lavoro, l’operatore può richiedere, in sostituzione, il riconoscimento economico del servizio 3 “Accompagnamento al lavoro”. </w:t>
            </w:r>
          </w:p>
        </w:tc>
      </w:tr>
      <w:tr w:rsidR="005D6175" w14:paraId="7C658986" w14:textId="77777777">
        <w:tc>
          <w:tcPr>
            <w:tcW w:w="1990" w:type="dxa"/>
            <w:tcBorders>
              <w:top w:val="dotted" w:sz="4" w:space="0" w:color="4472C4"/>
              <w:left w:val="dotted" w:sz="4" w:space="0" w:color="4472C4"/>
              <w:bottom w:val="dotted" w:sz="4" w:space="0" w:color="4472C4"/>
              <w:right w:val="dotted" w:sz="4" w:space="0" w:color="4472C4"/>
            </w:tcBorders>
          </w:tcPr>
          <w:p w14:paraId="79757817" w14:textId="77777777" w:rsidR="005D6175" w:rsidRDefault="00000000">
            <w:pPr>
              <w:spacing w:before="40" w:after="40" w:line="240" w:lineRule="auto"/>
              <w:jc w:val="center"/>
              <w:rPr>
                <w:b/>
                <w:color w:val="2F5496"/>
              </w:rPr>
            </w:pPr>
            <w:r>
              <w:rPr>
                <w:b/>
                <w:color w:val="2F5496"/>
              </w:rPr>
              <w:t>Durata della dote</w:t>
            </w:r>
          </w:p>
        </w:tc>
        <w:tc>
          <w:tcPr>
            <w:tcW w:w="8465" w:type="dxa"/>
            <w:tcBorders>
              <w:top w:val="dotted" w:sz="4" w:space="0" w:color="4472C4"/>
              <w:left w:val="dotted" w:sz="4" w:space="0" w:color="4472C4"/>
              <w:bottom w:val="dotted" w:sz="4" w:space="0" w:color="4472C4"/>
              <w:right w:val="dotted" w:sz="4" w:space="0" w:color="4472C4"/>
            </w:tcBorders>
          </w:tcPr>
          <w:p w14:paraId="2A8CF37B" w14:textId="77777777" w:rsidR="005D6175" w:rsidRDefault="00000000">
            <w:pPr>
              <w:spacing w:after="0" w:line="240" w:lineRule="auto"/>
              <w:jc w:val="both"/>
            </w:pPr>
            <w:r>
              <w:t>La durata massima della dote è di 180 giorni estendibili, in caso di attivazione di un tirocinio extracurriculare, secondo le disposizioni presenti nel bando.</w:t>
            </w:r>
          </w:p>
        </w:tc>
      </w:tr>
      <w:tr w:rsidR="005D6175" w14:paraId="27E868BD" w14:textId="77777777">
        <w:tc>
          <w:tcPr>
            <w:tcW w:w="1990" w:type="dxa"/>
            <w:tcBorders>
              <w:top w:val="dotted" w:sz="4" w:space="0" w:color="4472C4"/>
              <w:left w:val="dotted" w:sz="4" w:space="0" w:color="4472C4"/>
              <w:bottom w:val="dotted" w:sz="4" w:space="0" w:color="4472C4"/>
              <w:right w:val="dotted" w:sz="4" w:space="0" w:color="4472C4"/>
            </w:tcBorders>
          </w:tcPr>
          <w:p w14:paraId="5E59E3B2" w14:textId="77777777" w:rsidR="005D6175" w:rsidRDefault="00000000">
            <w:pPr>
              <w:spacing w:before="40" w:after="40" w:line="240" w:lineRule="auto"/>
              <w:jc w:val="center"/>
              <w:rPr>
                <w:b/>
                <w:color w:val="2F5496"/>
              </w:rPr>
            </w:pPr>
            <w:r>
              <w:rPr>
                <w:b/>
                <w:color w:val="2F5496"/>
              </w:rPr>
              <w:t>Data di chiusura</w:t>
            </w:r>
          </w:p>
        </w:tc>
        <w:tc>
          <w:tcPr>
            <w:tcW w:w="8465" w:type="dxa"/>
            <w:tcBorders>
              <w:top w:val="dotted" w:sz="4" w:space="0" w:color="4472C4"/>
              <w:left w:val="dotted" w:sz="4" w:space="0" w:color="4472C4"/>
              <w:bottom w:val="dotted" w:sz="4" w:space="0" w:color="4472C4"/>
              <w:right w:val="dotted" w:sz="4" w:space="0" w:color="4472C4"/>
            </w:tcBorders>
          </w:tcPr>
          <w:p w14:paraId="398113FB" w14:textId="77777777" w:rsidR="005D6175" w:rsidRDefault="00000000">
            <w:pPr>
              <w:tabs>
                <w:tab w:val="left" w:pos="2808"/>
              </w:tabs>
              <w:spacing w:after="0" w:line="240" w:lineRule="auto"/>
              <w:jc w:val="both"/>
              <w:rPr>
                <w:rFonts w:cs="Calibri"/>
              </w:rPr>
            </w:pPr>
            <w:r>
              <w:t>31/12/2022</w:t>
            </w:r>
            <w:r>
              <w:tab/>
            </w:r>
          </w:p>
        </w:tc>
      </w:tr>
      <w:tr w:rsidR="005D6175" w14:paraId="3A75C95D" w14:textId="77777777">
        <w:tc>
          <w:tcPr>
            <w:tcW w:w="1990" w:type="dxa"/>
            <w:tcBorders>
              <w:top w:val="dotted" w:sz="4" w:space="0" w:color="4472C4"/>
              <w:left w:val="dotted" w:sz="4" w:space="0" w:color="4472C4"/>
              <w:bottom w:val="dotted" w:sz="4" w:space="0" w:color="4472C4"/>
              <w:right w:val="dotted" w:sz="4" w:space="0" w:color="4472C4"/>
            </w:tcBorders>
          </w:tcPr>
          <w:p w14:paraId="1A06EB5C" w14:textId="77777777" w:rsidR="005D6175" w:rsidRDefault="00000000">
            <w:pPr>
              <w:spacing w:before="40" w:after="40" w:line="240" w:lineRule="auto"/>
              <w:jc w:val="center"/>
              <w:rPr>
                <w:b/>
                <w:color w:val="2F5496"/>
              </w:rPr>
            </w:pPr>
            <w:r>
              <w:rPr>
                <w:b/>
                <w:color w:val="2F5496"/>
              </w:rPr>
              <w:t>Link Utili</w:t>
            </w:r>
          </w:p>
        </w:tc>
        <w:tc>
          <w:tcPr>
            <w:tcW w:w="8465" w:type="dxa"/>
            <w:tcBorders>
              <w:top w:val="dotted" w:sz="4" w:space="0" w:color="4472C4"/>
              <w:left w:val="dotted" w:sz="4" w:space="0" w:color="4472C4"/>
              <w:bottom w:val="dotted" w:sz="4" w:space="0" w:color="4472C4"/>
              <w:right w:val="dotted" w:sz="4" w:space="0" w:color="4472C4"/>
            </w:tcBorders>
          </w:tcPr>
          <w:p w14:paraId="167FF3F4" w14:textId="77777777" w:rsidR="005D6175" w:rsidRDefault="00000000">
            <w:pPr>
              <w:tabs>
                <w:tab w:val="left" w:pos="2808"/>
              </w:tabs>
              <w:spacing w:after="0" w:line="240" w:lineRule="auto"/>
              <w:jc w:val="both"/>
              <w:rPr>
                <w:rFonts w:cs="Calibri"/>
              </w:rPr>
            </w:pPr>
            <w:r>
              <w:t xml:space="preserve">Sito </w:t>
            </w:r>
            <w:hyperlink r:id="rId16">
              <w:r>
                <w:rPr>
                  <w:color w:val="0563C1"/>
                  <w:u w:val="single"/>
                </w:rPr>
                <w:t>Garanzia Giovani Regione Lombardia</w:t>
              </w:r>
            </w:hyperlink>
          </w:p>
          <w:p w14:paraId="45BE8EB7" w14:textId="77777777" w:rsidR="005D6175" w:rsidRDefault="00000000">
            <w:pPr>
              <w:shd w:val="clear" w:color="auto" w:fill="FFFFFF"/>
              <w:spacing w:after="0" w:line="240" w:lineRule="auto"/>
              <w:rPr>
                <w:rFonts w:cs="Calibri"/>
              </w:rPr>
            </w:pPr>
            <w:hyperlink r:id="rId17">
              <w:r>
                <w:rPr>
                  <w:color w:val="0563C1"/>
                  <w:u w:val="single"/>
                </w:rPr>
                <w:t>Bando Garanzia Giovani in Lombardia - Fase II</w:t>
              </w:r>
            </w:hyperlink>
          </w:p>
        </w:tc>
      </w:tr>
    </w:tbl>
    <w:p w14:paraId="53BAC82E" w14:textId="77777777" w:rsidR="005D6175" w:rsidRDefault="005D6175">
      <w:pPr>
        <w:sectPr w:rsidR="005D6175">
          <w:headerReference w:type="default" r:id="rId18"/>
          <w:footerReference w:type="default" r:id="rId19"/>
          <w:type w:val="continuous"/>
          <w:pgSz w:w="11906" w:h="16838"/>
          <w:pgMar w:top="2102" w:right="720" w:bottom="720" w:left="720" w:header="567" w:footer="204" w:gutter="0"/>
          <w:cols w:space="720"/>
        </w:sectPr>
      </w:pPr>
    </w:p>
    <w:p w14:paraId="3F9E6CEB" w14:textId="77777777" w:rsidR="005D6175" w:rsidRDefault="005D6175"/>
    <w:sectPr w:rsidR="005D6175">
      <w:type w:val="continuous"/>
      <w:pgSz w:w="11906" w:h="16838"/>
      <w:pgMar w:top="2102" w:right="720" w:bottom="720" w:left="720" w:header="567" w:footer="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09858" w14:textId="77777777" w:rsidR="002610CD" w:rsidRDefault="002610CD">
      <w:pPr>
        <w:spacing w:after="0" w:line="240" w:lineRule="auto"/>
      </w:pPr>
      <w:r>
        <w:separator/>
      </w:r>
    </w:p>
  </w:endnote>
  <w:endnote w:type="continuationSeparator" w:id="0">
    <w:p w14:paraId="04DEE3BA" w14:textId="77777777" w:rsidR="002610CD" w:rsidRDefault="0026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5C60" w14:textId="77777777" w:rsidR="005D6175" w:rsidRDefault="005D6175">
    <w:pPr>
      <w:widowControl w:val="0"/>
      <w:pBdr>
        <w:top w:val="nil"/>
        <w:left w:val="nil"/>
        <w:bottom w:val="nil"/>
        <w:right w:val="nil"/>
        <w:between w:val="nil"/>
      </w:pBdr>
      <w:spacing w:after="0" w:line="276" w:lineRule="auto"/>
      <w:rPr>
        <w:rFonts w:cs="Calibri"/>
        <w:color w:val="000000"/>
      </w:rPr>
    </w:pPr>
  </w:p>
  <w:tbl>
    <w:tblPr>
      <w:tblStyle w:val="a0"/>
      <w:tblW w:w="10466" w:type="dxa"/>
      <w:tblInd w:w="0" w:type="dxa"/>
      <w:tblLayout w:type="fixed"/>
      <w:tblLook w:val="0400" w:firstRow="0" w:lastRow="0" w:firstColumn="0" w:lastColumn="0" w:noHBand="0" w:noVBand="1"/>
    </w:tblPr>
    <w:tblGrid>
      <w:gridCol w:w="666"/>
      <w:gridCol w:w="700"/>
      <w:gridCol w:w="3433"/>
      <w:gridCol w:w="2762"/>
      <w:gridCol w:w="2905"/>
    </w:tblGrid>
    <w:tr w:rsidR="005D6175" w14:paraId="643669DF" w14:textId="77777777">
      <w:tc>
        <w:tcPr>
          <w:tcW w:w="666" w:type="dxa"/>
          <w:shd w:val="clear" w:color="auto" w:fill="auto"/>
        </w:tcPr>
        <w:p w14:paraId="7BE8BFCA" w14:textId="77777777" w:rsidR="005D6175" w:rsidRDefault="00000000">
          <w:pPr>
            <w:widowControl w:val="0"/>
            <w:pBdr>
              <w:top w:val="nil"/>
              <w:left w:val="nil"/>
              <w:bottom w:val="nil"/>
              <w:right w:val="nil"/>
              <w:between w:val="nil"/>
            </w:pBdr>
            <w:tabs>
              <w:tab w:val="center" w:pos="4819"/>
              <w:tab w:val="right" w:pos="9638"/>
            </w:tabs>
            <w:spacing w:after="0" w:line="240" w:lineRule="auto"/>
            <w:jc w:val="center"/>
            <w:rPr>
              <w:rFonts w:cs="Calibri"/>
              <w:color w:val="000000"/>
            </w:rPr>
          </w:pPr>
          <w:r>
            <w:rPr>
              <w:rFonts w:cs="Calibri"/>
              <w:noProof/>
              <w:color w:val="000000"/>
            </w:rPr>
            <w:drawing>
              <wp:inline distT="0" distB="0" distL="0" distR="0" wp14:anchorId="325F5079" wp14:editId="0D9EFCF7">
                <wp:extent cx="180975" cy="17145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975" cy="171450"/>
                        </a:xfrm>
                        <a:prstGeom prst="rect">
                          <a:avLst/>
                        </a:prstGeom>
                        <a:ln/>
                      </pic:spPr>
                    </pic:pic>
                  </a:graphicData>
                </a:graphic>
              </wp:inline>
            </w:drawing>
          </w:r>
        </w:p>
      </w:tc>
      <w:tc>
        <w:tcPr>
          <w:tcW w:w="700" w:type="dxa"/>
          <w:shd w:val="clear" w:color="auto" w:fill="auto"/>
        </w:tcPr>
        <w:p w14:paraId="2B129E52" w14:textId="77777777" w:rsidR="005D6175" w:rsidRDefault="00000000">
          <w:pPr>
            <w:widowControl w:val="0"/>
            <w:pBdr>
              <w:top w:val="nil"/>
              <w:left w:val="nil"/>
              <w:bottom w:val="nil"/>
              <w:right w:val="nil"/>
              <w:between w:val="nil"/>
            </w:pBdr>
            <w:tabs>
              <w:tab w:val="center" w:pos="4819"/>
              <w:tab w:val="right" w:pos="9638"/>
            </w:tabs>
            <w:spacing w:after="0" w:line="240" w:lineRule="auto"/>
            <w:jc w:val="center"/>
            <w:rPr>
              <w:rFonts w:cs="Calibri"/>
              <w:color w:val="000000"/>
            </w:rPr>
          </w:pPr>
          <w:r>
            <w:rPr>
              <w:rFonts w:cs="Calibri"/>
              <w:noProof/>
              <w:color w:val="000000"/>
            </w:rPr>
            <w:drawing>
              <wp:inline distT="0" distB="0" distL="0" distR="0" wp14:anchorId="275B3C64" wp14:editId="722885B1">
                <wp:extent cx="180975" cy="17145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0975" cy="171450"/>
                        </a:xfrm>
                        <a:prstGeom prst="rect">
                          <a:avLst/>
                        </a:prstGeom>
                        <a:ln/>
                      </pic:spPr>
                    </pic:pic>
                  </a:graphicData>
                </a:graphic>
              </wp:inline>
            </w:drawing>
          </w:r>
        </w:p>
      </w:tc>
      <w:tc>
        <w:tcPr>
          <w:tcW w:w="3433" w:type="dxa"/>
          <w:shd w:val="clear" w:color="auto" w:fill="auto"/>
        </w:tcPr>
        <w:p w14:paraId="04508609"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Tempi Moderni S.p.A.</w:t>
          </w:r>
        </w:p>
        <w:p w14:paraId="2032BD5F"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Agenzia per il Lavoro</w:t>
          </w:r>
        </w:p>
        <w:p w14:paraId="55979E88"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Via Immacolata di Lourdes, 29</w:t>
          </w:r>
        </w:p>
        <w:p w14:paraId="34A9AA03"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31015 Conegliano (TV)</w:t>
          </w:r>
        </w:p>
      </w:tc>
      <w:tc>
        <w:tcPr>
          <w:tcW w:w="2762" w:type="dxa"/>
          <w:shd w:val="clear" w:color="auto" w:fill="auto"/>
        </w:tcPr>
        <w:p w14:paraId="6BEC106D"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P.IVA: 04330930266</w:t>
          </w:r>
        </w:p>
        <w:p w14:paraId="5A3F0F8C" w14:textId="77777777" w:rsidR="005D6175" w:rsidRDefault="00000000">
          <w:pPr>
            <w:widowControl w:val="0"/>
            <w:pBdr>
              <w:top w:val="nil"/>
              <w:left w:val="nil"/>
              <w:bottom w:val="nil"/>
              <w:right w:val="nil"/>
              <w:between w:val="nil"/>
            </w:pBdr>
            <w:tabs>
              <w:tab w:val="center" w:pos="4819"/>
              <w:tab w:val="right" w:pos="9638"/>
              <w:tab w:val="center" w:pos="142"/>
              <w:tab w:val="left" w:pos="340"/>
              <w:tab w:val="center" w:pos="4819"/>
              <w:tab w:val="right" w:pos="9638"/>
            </w:tabs>
            <w:spacing w:after="0" w:line="240" w:lineRule="auto"/>
            <w:rPr>
              <w:rFonts w:cs="Calibri"/>
              <w:color w:val="000000"/>
              <w:sz w:val="18"/>
              <w:szCs w:val="18"/>
            </w:rPr>
          </w:pPr>
          <w:r>
            <w:rPr>
              <w:rFonts w:cs="Calibri"/>
              <w:color w:val="000000"/>
              <w:sz w:val="18"/>
              <w:szCs w:val="18"/>
            </w:rPr>
            <w:tab/>
          </w:r>
          <w:r>
            <w:rPr>
              <w:rFonts w:ascii="Noto Sans Symbols" w:eastAsia="Noto Sans Symbols" w:hAnsi="Noto Sans Symbols" w:cs="Noto Sans Symbols"/>
              <w:color w:val="000000"/>
              <w:sz w:val="18"/>
              <w:szCs w:val="18"/>
            </w:rPr>
            <w:t>🕿</w:t>
          </w:r>
          <w:r>
            <w:rPr>
              <w:rFonts w:cs="Calibri"/>
              <w:color w:val="000000"/>
              <w:sz w:val="18"/>
              <w:szCs w:val="18"/>
            </w:rPr>
            <w:tab/>
            <w:t>081 562 82 60</w:t>
          </w:r>
        </w:p>
        <w:p w14:paraId="404441B4" w14:textId="77777777" w:rsidR="005D6175" w:rsidRDefault="00000000">
          <w:pPr>
            <w:widowControl w:val="0"/>
            <w:pBdr>
              <w:top w:val="nil"/>
              <w:left w:val="nil"/>
              <w:bottom w:val="nil"/>
              <w:right w:val="nil"/>
              <w:between w:val="nil"/>
            </w:pBdr>
            <w:tabs>
              <w:tab w:val="center" w:pos="4819"/>
              <w:tab w:val="right" w:pos="9638"/>
              <w:tab w:val="center" w:pos="142"/>
              <w:tab w:val="left" w:pos="340"/>
              <w:tab w:val="center" w:pos="4819"/>
              <w:tab w:val="right" w:pos="9638"/>
            </w:tabs>
            <w:spacing w:after="0" w:line="240" w:lineRule="auto"/>
            <w:rPr>
              <w:rFonts w:cs="Calibri"/>
              <w:color w:val="000000"/>
              <w:sz w:val="18"/>
              <w:szCs w:val="18"/>
            </w:rPr>
          </w:pPr>
          <w:r>
            <w:rPr>
              <w:rFonts w:cs="Calibri"/>
              <w:color w:val="000000"/>
              <w:sz w:val="18"/>
              <w:szCs w:val="18"/>
            </w:rPr>
            <w:tab/>
          </w:r>
          <w:r>
            <w:rPr>
              <w:rFonts w:ascii="Noto Sans Symbols" w:eastAsia="Noto Sans Symbols" w:hAnsi="Noto Sans Symbols" w:cs="Noto Sans Symbols"/>
              <w:color w:val="000000"/>
              <w:sz w:val="18"/>
              <w:szCs w:val="18"/>
            </w:rPr>
            <w:t>📄</w:t>
          </w:r>
          <w:r>
            <w:rPr>
              <w:rFonts w:cs="Calibri"/>
              <w:color w:val="000000"/>
              <w:sz w:val="18"/>
              <w:szCs w:val="18"/>
            </w:rPr>
            <w:tab/>
            <w:t>081 562 85 27</w:t>
          </w:r>
        </w:p>
      </w:tc>
      <w:tc>
        <w:tcPr>
          <w:tcW w:w="2905" w:type="dxa"/>
          <w:shd w:val="clear" w:color="auto" w:fill="auto"/>
        </w:tcPr>
        <w:p w14:paraId="15997A0C" w14:textId="77777777" w:rsidR="005D6175" w:rsidRDefault="00000000">
          <w:pPr>
            <w:widowControl w:val="0"/>
            <w:pBdr>
              <w:top w:val="nil"/>
              <w:left w:val="nil"/>
              <w:bottom w:val="nil"/>
              <w:right w:val="nil"/>
              <w:between w:val="nil"/>
            </w:pBdr>
            <w:tabs>
              <w:tab w:val="center" w:pos="4819"/>
              <w:tab w:val="right" w:pos="9638"/>
            </w:tabs>
            <w:spacing w:after="0" w:line="240" w:lineRule="auto"/>
            <w:jc w:val="right"/>
            <w:rPr>
              <w:rFonts w:cs="Calibri"/>
              <w:b/>
              <w:color w:val="FB8005"/>
              <w:sz w:val="18"/>
              <w:szCs w:val="18"/>
            </w:rPr>
          </w:pPr>
          <w:hyperlink r:id="rId3">
            <w:r>
              <w:rPr>
                <w:rFonts w:cs="Calibri"/>
                <w:b/>
                <w:color w:val="FB8005"/>
                <w:sz w:val="18"/>
                <w:szCs w:val="18"/>
              </w:rPr>
              <w:t>info@tempimodernilavoro.com</w:t>
            </w:r>
          </w:hyperlink>
        </w:p>
        <w:p w14:paraId="3BEBE82A" w14:textId="77777777" w:rsidR="005D6175" w:rsidRDefault="00000000">
          <w:pPr>
            <w:widowControl w:val="0"/>
            <w:pBdr>
              <w:top w:val="nil"/>
              <w:left w:val="nil"/>
              <w:bottom w:val="nil"/>
              <w:right w:val="nil"/>
              <w:between w:val="nil"/>
            </w:pBdr>
            <w:tabs>
              <w:tab w:val="center" w:pos="4819"/>
              <w:tab w:val="right" w:pos="9638"/>
            </w:tabs>
            <w:spacing w:after="0" w:line="240" w:lineRule="auto"/>
            <w:jc w:val="right"/>
            <w:rPr>
              <w:rFonts w:cs="Calibri"/>
              <w:b/>
              <w:color w:val="FB8005"/>
              <w:sz w:val="18"/>
              <w:szCs w:val="18"/>
            </w:rPr>
          </w:pPr>
          <w:r>
            <w:rPr>
              <w:rFonts w:cs="Calibri"/>
              <w:b/>
              <w:color w:val="FB8005"/>
              <w:sz w:val="18"/>
              <w:szCs w:val="18"/>
            </w:rPr>
            <w:t>www.tempimodernilavoro.com</w:t>
          </w:r>
        </w:p>
      </w:tc>
    </w:tr>
  </w:tbl>
  <w:p w14:paraId="16888F51" w14:textId="77777777" w:rsidR="005D6175" w:rsidRDefault="00000000">
    <w:pPr>
      <w:pBdr>
        <w:top w:val="nil"/>
        <w:left w:val="nil"/>
        <w:bottom w:val="nil"/>
        <w:right w:val="nil"/>
        <w:between w:val="nil"/>
      </w:pBdr>
      <w:tabs>
        <w:tab w:val="center" w:pos="4819"/>
        <w:tab w:val="right" w:pos="9638"/>
      </w:tabs>
      <w:spacing w:after="0" w:line="240" w:lineRule="auto"/>
      <w:jc w:val="center"/>
      <w:rPr>
        <w:rFonts w:cs="Calibri"/>
        <w:color w:val="000000"/>
      </w:rPr>
    </w:pPr>
    <w:r>
      <w:rPr>
        <w:noProof/>
      </w:rPr>
      <mc:AlternateContent>
        <mc:Choice Requires="wpg">
          <w:drawing>
            <wp:anchor distT="0" distB="0" distL="0" distR="0" simplePos="0" relativeHeight="251658240" behindDoc="1" locked="0" layoutInCell="1" hidden="0" allowOverlap="1" wp14:anchorId="179DCE71" wp14:editId="1C057156">
              <wp:simplePos x="0" y="0"/>
              <wp:positionH relativeFrom="column">
                <wp:posOffset>-190499</wp:posOffset>
              </wp:positionH>
              <wp:positionV relativeFrom="paragraph">
                <wp:posOffset>-1130299</wp:posOffset>
              </wp:positionV>
              <wp:extent cx="167005" cy="1188085"/>
              <wp:effectExtent l="0" t="0" r="0" b="0"/>
              <wp:wrapNone/>
              <wp:docPr id="15" name="Rettangolo 15"/>
              <wp:cNvGraphicFramePr/>
              <a:graphic xmlns:a="http://schemas.openxmlformats.org/drawingml/2006/main">
                <a:graphicData uri="http://schemas.microsoft.com/office/word/2010/wordprocessingShape">
                  <wps:wsp>
                    <wps:cNvSpPr/>
                    <wps:spPr>
                      <a:xfrm rot="10800000">
                        <a:off x="5267520" y="3191040"/>
                        <a:ext cx="156960" cy="1177920"/>
                      </a:xfrm>
                      <a:prstGeom prst="rect">
                        <a:avLst/>
                      </a:prstGeom>
                      <a:noFill/>
                      <a:ln>
                        <a:noFill/>
                      </a:ln>
                    </wps:spPr>
                    <wps:txbx>
                      <w:txbxContent>
                        <w:p w14:paraId="783B50D9" w14:textId="77777777" w:rsidR="005D6175" w:rsidRDefault="00000000">
                          <w:pPr>
                            <w:spacing w:line="258" w:lineRule="auto"/>
                            <w:textDirection w:val="btLr"/>
                          </w:pPr>
                          <w:r>
                            <w:rPr>
                              <w:rFonts w:cs="Calibri"/>
                              <w:color w:val="000000"/>
                              <w:sz w:val="12"/>
                            </w:rPr>
                            <w:t>MOD. TM 040 rev.3.0 – 15.05.2018</w:t>
                          </w:r>
                        </w:p>
                      </w:txbxContent>
                    </wps:txbx>
                    <wps:bodyPr spcFirstLastPara="1" wrap="square" lIns="36350" tIns="36350" rIns="36350" bIns="363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-190499</wp:posOffset>
              </wp:positionH>
              <wp:positionV relativeFrom="paragraph">
                <wp:posOffset>-1130299</wp:posOffset>
              </wp:positionV>
              <wp:extent cx="167005" cy="1188085"/>
              <wp:effectExtent b="0" l="0" r="0" t="0"/>
              <wp:wrapNone/>
              <wp:docPr id="15"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167005" cy="1188085"/>
                      </a:xfrm>
                      <a:prstGeom prst="rect"/>
                      <a:ln/>
                    </pic:spPr>
                  </pic:pic>
                </a:graphicData>
              </a:graphic>
            </wp:anchor>
          </w:drawing>
        </mc:Fallback>
      </mc:AlternateContent>
    </w:r>
  </w:p>
  <w:p w14:paraId="0FEEE135" w14:textId="77777777" w:rsidR="005D6175" w:rsidRDefault="005D6175">
    <w:pPr>
      <w:pBdr>
        <w:top w:val="nil"/>
        <w:left w:val="nil"/>
        <w:bottom w:val="nil"/>
        <w:right w:val="nil"/>
        <w:between w:val="nil"/>
      </w:pBdr>
      <w:tabs>
        <w:tab w:val="center" w:pos="4819"/>
        <w:tab w:val="right" w:pos="9638"/>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9F95" w14:textId="77777777" w:rsidR="005D6175" w:rsidRDefault="005D6175">
    <w:pPr>
      <w:widowControl w:val="0"/>
      <w:pBdr>
        <w:top w:val="nil"/>
        <w:left w:val="nil"/>
        <w:bottom w:val="nil"/>
        <w:right w:val="nil"/>
        <w:between w:val="nil"/>
      </w:pBdr>
      <w:spacing w:after="0" w:line="276" w:lineRule="auto"/>
      <w:rPr>
        <w:rFonts w:cs="Calibri"/>
        <w:color w:val="000000"/>
      </w:rPr>
    </w:pPr>
  </w:p>
  <w:tbl>
    <w:tblPr>
      <w:tblStyle w:val="a1"/>
      <w:tblW w:w="10466" w:type="dxa"/>
      <w:tblInd w:w="0" w:type="dxa"/>
      <w:tblLayout w:type="fixed"/>
      <w:tblLook w:val="0400" w:firstRow="0" w:lastRow="0" w:firstColumn="0" w:lastColumn="0" w:noHBand="0" w:noVBand="1"/>
    </w:tblPr>
    <w:tblGrid>
      <w:gridCol w:w="666"/>
      <w:gridCol w:w="700"/>
      <w:gridCol w:w="3433"/>
      <w:gridCol w:w="2762"/>
      <w:gridCol w:w="2905"/>
    </w:tblGrid>
    <w:tr w:rsidR="005D6175" w14:paraId="34B62D55" w14:textId="77777777">
      <w:tc>
        <w:tcPr>
          <w:tcW w:w="666" w:type="dxa"/>
          <w:shd w:val="clear" w:color="auto" w:fill="auto"/>
        </w:tcPr>
        <w:p w14:paraId="57ECED38" w14:textId="77777777" w:rsidR="005D6175" w:rsidRDefault="00000000">
          <w:pPr>
            <w:widowControl w:val="0"/>
            <w:pBdr>
              <w:top w:val="nil"/>
              <w:left w:val="nil"/>
              <w:bottom w:val="nil"/>
              <w:right w:val="nil"/>
              <w:between w:val="nil"/>
            </w:pBdr>
            <w:tabs>
              <w:tab w:val="center" w:pos="4819"/>
              <w:tab w:val="right" w:pos="9638"/>
            </w:tabs>
            <w:spacing w:after="0" w:line="240" w:lineRule="auto"/>
            <w:jc w:val="center"/>
            <w:rPr>
              <w:rFonts w:cs="Calibri"/>
              <w:color w:val="000000"/>
            </w:rPr>
          </w:pPr>
          <w:r>
            <w:rPr>
              <w:rFonts w:cs="Calibri"/>
              <w:noProof/>
              <w:color w:val="000000"/>
            </w:rPr>
            <w:drawing>
              <wp:inline distT="0" distB="0" distL="0" distR="0" wp14:anchorId="1333E0DD" wp14:editId="48464CBC">
                <wp:extent cx="180975" cy="17145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0975" cy="171450"/>
                        </a:xfrm>
                        <a:prstGeom prst="rect">
                          <a:avLst/>
                        </a:prstGeom>
                        <a:ln/>
                      </pic:spPr>
                    </pic:pic>
                  </a:graphicData>
                </a:graphic>
              </wp:inline>
            </w:drawing>
          </w:r>
        </w:p>
      </w:tc>
      <w:tc>
        <w:tcPr>
          <w:tcW w:w="700" w:type="dxa"/>
          <w:shd w:val="clear" w:color="auto" w:fill="auto"/>
        </w:tcPr>
        <w:p w14:paraId="3755723C" w14:textId="77777777" w:rsidR="005D6175" w:rsidRDefault="00000000">
          <w:pPr>
            <w:widowControl w:val="0"/>
            <w:pBdr>
              <w:top w:val="nil"/>
              <w:left w:val="nil"/>
              <w:bottom w:val="nil"/>
              <w:right w:val="nil"/>
              <w:between w:val="nil"/>
            </w:pBdr>
            <w:tabs>
              <w:tab w:val="center" w:pos="4819"/>
              <w:tab w:val="right" w:pos="9638"/>
            </w:tabs>
            <w:spacing w:after="0" w:line="240" w:lineRule="auto"/>
            <w:jc w:val="center"/>
            <w:rPr>
              <w:rFonts w:cs="Calibri"/>
              <w:color w:val="000000"/>
            </w:rPr>
          </w:pPr>
          <w:r>
            <w:rPr>
              <w:rFonts w:cs="Calibri"/>
              <w:noProof/>
              <w:color w:val="000000"/>
            </w:rPr>
            <w:drawing>
              <wp:inline distT="0" distB="0" distL="0" distR="0" wp14:anchorId="4BFAA8F4" wp14:editId="6A307E9E">
                <wp:extent cx="180975" cy="17145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80975" cy="171450"/>
                        </a:xfrm>
                        <a:prstGeom prst="rect">
                          <a:avLst/>
                        </a:prstGeom>
                        <a:ln/>
                      </pic:spPr>
                    </pic:pic>
                  </a:graphicData>
                </a:graphic>
              </wp:inline>
            </w:drawing>
          </w:r>
        </w:p>
      </w:tc>
      <w:tc>
        <w:tcPr>
          <w:tcW w:w="3433" w:type="dxa"/>
          <w:shd w:val="clear" w:color="auto" w:fill="auto"/>
        </w:tcPr>
        <w:p w14:paraId="640C290F"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Tempi Moderni S.p.A.</w:t>
          </w:r>
        </w:p>
        <w:p w14:paraId="4190064E"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Agenzia per il Lavoro</w:t>
          </w:r>
        </w:p>
        <w:p w14:paraId="4D4EC0B7"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Via Immacolata di Lourdes, 29</w:t>
          </w:r>
        </w:p>
        <w:p w14:paraId="61441946"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31015 Conegliano (TV)</w:t>
          </w:r>
        </w:p>
      </w:tc>
      <w:tc>
        <w:tcPr>
          <w:tcW w:w="2762" w:type="dxa"/>
          <w:shd w:val="clear" w:color="auto" w:fill="auto"/>
        </w:tcPr>
        <w:p w14:paraId="0C8A88BF" w14:textId="77777777" w:rsidR="005D6175" w:rsidRDefault="00000000">
          <w:pPr>
            <w:widowControl w:val="0"/>
            <w:pBdr>
              <w:top w:val="nil"/>
              <w:left w:val="nil"/>
              <w:bottom w:val="nil"/>
              <w:right w:val="nil"/>
              <w:between w:val="nil"/>
            </w:pBdr>
            <w:tabs>
              <w:tab w:val="center" w:pos="4819"/>
              <w:tab w:val="right" w:pos="9638"/>
            </w:tabs>
            <w:spacing w:after="0" w:line="240" w:lineRule="auto"/>
            <w:rPr>
              <w:rFonts w:cs="Calibri"/>
              <w:color w:val="000000"/>
              <w:sz w:val="18"/>
              <w:szCs w:val="18"/>
            </w:rPr>
          </w:pPr>
          <w:r>
            <w:rPr>
              <w:rFonts w:cs="Calibri"/>
              <w:color w:val="000000"/>
              <w:sz w:val="18"/>
              <w:szCs w:val="18"/>
            </w:rPr>
            <w:t>P.IVA: 04330930266</w:t>
          </w:r>
        </w:p>
        <w:p w14:paraId="39ACB398" w14:textId="77777777" w:rsidR="005D6175" w:rsidRDefault="00000000">
          <w:pPr>
            <w:widowControl w:val="0"/>
            <w:pBdr>
              <w:top w:val="nil"/>
              <w:left w:val="nil"/>
              <w:bottom w:val="nil"/>
              <w:right w:val="nil"/>
              <w:between w:val="nil"/>
            </w:pBdr>
            <w:tabs>
              <w:tab w:val="center" w:pos="4819"/>
              <w:tab w:val="right" w:pos="9638"/>
              <w:tab w:val="center" w:pos="142"/>
              <w:tab w:val="left" w:pos="340"/>
              <w:tab w:val="center" w:pos="4819"/>
              <w:tab w:val="right" w:pos="9638"/>
            </w:tabs>
            <w:spacing w:after="0" w:line="240" w:lineRule="auto"/>
            <w:rPr>
              <w:rFonts w:cs="Calibri"/>
              <w:color w:val="000000"/>
              <w:sz w:val="18"/>
              <w:szCs w:val="18"/>
            </w:rPr>
          </w:pPr>
          <w:r>
            <w:rPr>
              <w:rFonts w:cs="Calibri"/>
              <w:color w:val="000000"/>
              <w:sz w:val="18"/>
              <w:szCs w:val="18"/>
            </w:rPr>
            <w:tab/>
          </w:r>
          <w:r>
            <w:rPr>
              <w:rFonts w:ascii="Noto Sans Symbols" w:eastAsia="Noto Sans Symbols" w:hAnsi="Noto Sans Symbols" w:cs="Noto Sans Symbols"/>
              <w:color w:val="000000"/>
              <w:sz w:val="18"/>
              <w:szCs w:val="18"/>
            </w:rPr>
            <w:t>🕿</w:t>
          </w:r>
          <w:r>
            <w:rPr>
              <w:rFonts w:cs="Calibri"/>
              <w:color w:val="000000"/>
              <w:sz w:val="18"/>
              <w:szCs w:val="18"/>
            </w:rPr>
            <w:tab/>
            <w:t>081 562 82 60</w:t>
          </w:r>
        </w:p>
        <w:p w14:paraId="3172AE81" w14:textId="77777777" w:rsidR="005D6175" w:rsidRDefault="00000000">
          <w:pPr>
            <w:widowControl w:val="0"/>
            <w:pBdr>
              <w:top w:val="nil"/>
              <w:left w:val="nil"/>
              <w:bottom w:val="nil"/>
              <w:right w:val="nil"/>
              <w:between w:val="nil"/>
            </w:pBdr>
            <w:tabs>
              <w:tab w:val="center" w:pos="4819"/>
              <w:tab w:val="right" w:pos="9638"/>
              <w:tab w:val="center" w:pos="142"/>
              <w:tab w:val="left" w:pos="340"/>
              <w:tab w:val="center" w:pos="4819"/>
              <w:tab w:val="right" w:pos="9638"/>
            </w:tabs>
            <w:spacing w:after="0" w:line="240" w:lineRule="auto"/>
            <w:rPr>
              <w:rFonts w:cs="Calibri"/>
              <w:color w:val="000000"/>
              <w:sz w:val="18"/>
              <w:szCs w:val="18"/>
            </w:rPr>
          </w:pPr>
          <w:r>
            <w:rPr>
              <w:rFonts w:cs="Calibri"/>
              <w:color w:val="000000"/>
              <w:sz w:val="18"/>
              <w:szCs w:val="18"/>
            </w:rPr>
            <w:tab/>
          </w:r>
          <w:r>
            <w:rPr>
              <w:rFonts w:ascii="Noto Sans Symbols" w:eastAsia="Noto Sans Symbols" w:hAnsi="Noto Sans Symbols" w:cs="Noto Sans Symbols"/>
              <w:color w:val="000000"/>
              <w:sz w:val="18"/>
              <w:szCs w:val="18"/>
            </w:rPr>
            <w:t>📄</w:t>
          </w:r>
          <w:r>
            <w:rPr>
              <w:rFonts w:cs="Calibri"/>
              <w:color w:val="000000"/>
              <w:sz w:val="18"/>
              <w:szCs w:val="18"/>
            </w:rPr>
            <w:tab/>
            <w:t>081 562 85 27</w:t>
          </w:r>
        </w:p>
      </w:tc>
      <w:tc>
        <w:tcPr>
          <w:tcW w:w="2905" w:type="dxa"/>
          <w:shd w:val="clear" w:color="auto" w:fill="auto"/>
        </w:tcPr>
        <w:p w14:paraId="179D4E00" w14:textId="77777777" w:rsidR="005D6175" w:rsidRDefault="00000000">
          <w:pPr>
            <w:widowControl w:val="0"/>
            <w:pBdr>
              <w:top w:val="nil"/>
              <w:left w:val="nil"/>
              <w:bottom w:val="nil"/>
              <w:right w:val="nil"/>
              <w:between w:val="nil"/>
            </w:pBdr>
            <w:tabs>
              <w:tab w:val="center" w:pos="4819"/>
              <w:tab w:val="right" w:pos="9638"/>
            </w:tabs>
            <w:spacing w:after="0" w:line="240" w:lineRule="auto"/>
            <w:jc w:val="right"/>
            <w:rPr>
              <w:rFonts w:cs="Calibri"/>
              <w:b/>
              <w:color w:val="FB8005"/>
              <w:sz w:val="18"/>
              <w:szCs w:val="18"/>
            </w:rPr>
          </w:pPr>
          <w:hyperlink r:id="rId3">
            <w:r>
              <w:rPr>
                <w:rFonts w:cs="Calibri"/>
                <w:b/>
                <w:color w:val="FB8005"/>
                <w:sz w:val="18"/>
                <w:szCs w:val="18"/>
              </w:rPr>
              <w:t>info@tempimodernilavoro.com</w:t>
            </w:r>
          </w:hyperlink>
        </w:p>
        <w:p w14:paraId="08C62640" w14:textId="77777777" w:rsidR="005D6175" w:rsidRDefault="00000000">
          <w:pPr>
            <w:widowControl w:val="0"/>
            <w:pBdr>
              <w:top w:val="nil"/>
              <w:left w:val="nil"/>
              <w:bottom w:val="nil"/>
              <w:right w:val="nil"/>
              <w:between w:val="nil"/>
            </w:pBdr>
            <w:tabs>
              <w:tab w:val="center" w:pos="4819"/>
              <w:tab w:val="right" w:pos="9638"/>
            </w:tabs>
            <w:spacing w:after="0" w:line="240" w:lineRule="auto"/>
            <w:jc w:val="right"/>
            <w:rPr>
              <w:rFonts w:cs="Calibri"/>
              <w:b/>
              <w:color w:val="FB8005"/>
              <w:sz w:val="18"/>
              <w:szCs w:val="18"/>
            </w:rPr>
          </w:pPr>
          <w:r>
            <w:rPr>
              <w:rFonts w:cs="Calibri"/>
              <w:b/>
              <w:color w:val="FB8005"/>
              <w:sz w:val="18"/>
              <w:szCs w:val="18"/>
            </w:rPr>
            <w:t>www.tempimodernilavoro.com</w:t>
          </w:r>
        </w:p>
      </w:tc>
    </w:tr>
  </w:tbl>
  <w:p w14:paraId="4BF5E5AD" w14:textId="77777777" w:rsidR="005D6175" w:rsidRDefault="00000000">
    <w:pPr>
      <w:pBdr>
        <w:top w:val="nil"/>
        <w:left w:val="nil"/>
        <w:bottom w:val="nil"/>
        <w:right w:val="nil"/>
        <w:between w:val="nil"/>
      </w:pBdr>
      <w:tabs>
        <w:tab w:val="center" w:pos="4819"/>
        <w:tab w:val="right" w:pos="9638"/>
      </w:tabs>
      <w:spacing w:after="0" w:line="240" w:lineRule="auto"/>
      <w:jc w:val="center"/>
      <w:rPr>
        <w:rFonts w:cs="Calibri"/>
        <w:color w:val="000000"/>
      </w:rPr>
    </w:pPr>
    <w:r>
      <w:rPr>
        <w:noProof/>
      </w:rPr>
      <mc:AlternateContent>
        <mc:Choice Requires="wpg">
          <w:drawing>
            <wp:anchor distT="0" distB="0" distL="0" distR="0" simplePos="0" relativeHeight="251662336" behindDoc="1" locked="0" layoutInCell="1" hidden="0" allowOverlap="1" wp14:anchorId="61765567" wp14:editId="13B740BD">
              <wp:simplePos x="0" y="0"/>
              <wp:positionH relativeFrom="column">
                <wp:posOffset>-190499</wp:posOffset>
              </wp:positionH>
              <wp:positionV relativeFrom="paragraph">
                <wp:posOffset>-1130299</wp:posOffset>
              </wp:positionV>
              <wp:extent cx="167005" cy="1188085"/>
              <wp:effectExtent l="0" t="0" r="0" b="0"/>
              <wp:wrapNone/>
              <wp:docPr id="14" name="Rettangolo 14"/>
              <wp:cNvGraphicFramePr/>
              <a:graphic xmlns:a="http://schemas.openxmlformats.org/drawingml/2006/main">
                <a:graphicData uri="http://schemas.microsoft.com/office/word/2010/wordprocessingShape">
                  <wps:wsp>
                    <wps:cNvSpPr/>
                    <wps:spPr>
                      <a:xfrm rot="10800000">
                        <a:off x="5267520" y="3191040"/>
                        <a:ext cx="156960" cy="1177920"/>
                      </a:xfrm>
                      <a:prstGeom prst="rect">
                        <a:avLst/>
                      </a:prstGeom>
                      <a:noFill/>
                      <a:ln>
                        <a:noFill/>
                      </a:ln>
                    </wps:spPr>
                    <wps:txbx>
                      <w:txbxContent>
                        <w:p w14:paraId="1B989BCC" w14:textId="77777777" w:rsidR="005D6175" w:rsidRDefault="00000000">
                          <w:pPr>
                            <w:spacing w:line="258" w:lineRule="auto"/>
                            <w:textDirection w:val="btLr"/>
                          </w:pPr>
                          <w:r>
                            <w:rPr>
                              <w:rFonts w:cs="Calibri"/>
                              <w:color w:val="000000"/>
                              <w:sz w:val="12"/>
                            </w:rPr>
                            <w:t>MOD. TM 040 rev.3.0 – 15.05.2018</w:t>
                          </w:r>
                        </w:p>
                      </w:txbxContent>
                    </wps:txbx>
                    <wps:bodyPr spcFirstLastPara="1" wrap="square" lIns="36350" tIns="36350" rIns="36350" bIns="3635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-190499</wp:posOffset>
              </wp:positionH>
              <wp:positionV relativeFrom="paragraph">
                <wp:posOffset>-1130299</wp:posOffset>
              </wp:positionV>
              <wp:extent cx="167005" cy="1188085"/>
              <wp:effectExtent b="0" l="0" r="0" t="0"/>
              <wp:wrapNone/>
              <wp:docPr id="14"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167005" cy="1188085"/>
                      </a:xfrm>
                      <a:prstGeom prst="rect"/>
                      <a:ln/>
                    </pic:spPr>
                  </pic:pic>
                </a:graphicData>
              </a:graphic>
            </wp:anchor>
          </w:drawing>
        </mc:Fallback>
      </mc:AlternateContent>
    </w:r>
  </w:p>
  <w:p w14:paraId="337908D9" w14:textId="77777777" w:rsidR="005D6175" w:rsidRDefault="005D6175">
    <w:pPr>
      <w:pBdr>
        <w:top w:val="nil"/>
        <w:left w:val="nil"/>
        <w:bottom w:val="nil"/>
        <w:right w:val="nil"/>
        <w:between w:val="nil"/>
      </w:pBdr>
      <w:tabs>
        <w:tab w:val="center" w:pos="4819"/>
        <w:tab w:val="right" w:pos="9638"/>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9336" w14:textId="77777777" w:rsidR="002610CD" w:rsidRDefault="002610CD">
      <w:pPr>
        <w:spacing w:after="0" w:line="240" w:lineRule="auto"/>
      </w:pPr>
      <w:r>
        <w:separator/>
      </w:r>
    </w:p>
  </w:footnote>
  <w:footnote w:type="continuationSeparator" w:id="0">
    <w:p w14:paraId="21583D6C" w14:textId="77777777" w:rsidR="002610CD" w:rsidRDefault="00261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73EA" w14:textId="77777777" w:rsidR="005D6175" w:rsidRDefault="00000000">
    <w:pPr>
      <w:pBdr>
        <w:top w:val="nil"/>
        <w:left w:val="nil"/>
        <w:bottom w:val="nil"/>
        <w:right w:val="nil"/>
        <w:between w:val="nil"/>
      </w:pBdr>
      <w:tabs>
        <w:tab w:val="center" w:pos="4819"/>
        <w:tab w:val="right" w:pos="9638"/>
        <w:tab w:val="right" w:pos="10206"/>
      </w:tabs>
      <w:spacing w:after="0" w:line="240" w:lineRule="auto"/>
      <w:rPr>
        <w:rFonts w:cs="Calibri"/>
        <w:color w:val="000000"/>
      </w:rPr>
    </w:pPr>
    <w:r>
      <w:rPr>
        <w:rFonts w:cs="Calibri"/>
        <w:b/>
        <w:i/>
        <w:color w:val="7393A2"/>
        <w:sz w:val="14"/>
        <w:szCs w:val="14"/>
      </w:rPr>
      <w:tab/>
    </w:r>
  </w:p>
  <w:p w14:paraId="69487AFF" w14:textId="77777777" w:rsidR="005D6175" w:rsidRDefault="005D6175">
    <w:pPr>
      <w:pBdr>
        <w:top w:val="nil"/>
        <w:left w:val="nil"/>
        <w:bottom w:val="nil"/>
        <w:right w:val="nil"/>
        <w:between w:val="nil"/>
      </w:pBdr>
      <w:tabs>
        <w:tab w:val="center" w:pos="4819"/>
        <w:tab w:val="right" w:pos="9638"/>
        <w:tab w:val="right" w:pos="10206"/>
      </w:tabs>
      <w:spacing w:after="0" w:line="240" w:lineRule="auto"/>
      <w:rPr>
        <w:rFonts w:cs="Calibri"/>
        <w:b/>
        <w:i/>
        <w:color w:val="7393A2"/>
        <w:sz w:val="14"/>
        <w:szCs w:val="14"/>
      </w:rPr>
    </w:pPr>
  </w:p>
  <w:p w14:paraId="1CA3822C" w14:textId="77777777" w:rsidR="005D6175" w:rsidRDefault="005D6175">
    <w:pPr>
      <w:pBdr>
        <w:top w:val="nil"/>
        <w:left w:val="nil"/>
        <w:bottom w:val="nil"/>
        <w:right w:val="nil"/>
        <w:between w:val="nil"/>
      </w:pBdr>
      <w:tabs>
        <w:tab w:val="center" w:pos="4819"/>
        <w:tab w:val="right" w:pos="9638"/>
        <w:tab w:val="right" w:pos="10206"/>
      </w:tabs>
      <w:spacing w:after="0" w:line="240" w:lineRule="auto"/>
      <w:rPr>
        <w:rFonts w:cs="Calibri"/>
        <w:b/>
        <w:i/>
        <w:color w:val="7393A2"/>
        <w:sz w:val="14"/>
        <w:szCs w:val="14"/>
      </w:rPr>
    </w:pPr>
  </w:p>
  <w:p w14:paraId="47C59D4A" w14:textId="77777777" w:rsidR="005D6175" w:rsidRDefault="005D6175">
    <w:pPr>
      <w:pBdr>
        <w:top w:val="nil"/>
        <w:left w:val="nil"/>
        <w:bottom w:val="nil"/>
        <w:right w:val="nil"/>
        <w:between w:val="nil"/>
      </w:pBdr>
      <w:tabs>
        <w:tab w:val="center" w:pos="4819"/>
        <w:tab w:val="right" w:pos="9638"/>
        <w:tab w:val="right" w:pos="10206"/>
      </w:tabs>
      <w:spacing w:after="0" w:line="240" w:lineRule="auto"/>
      <w:rPr>
        <w:rFonts w:cs="Calibri"/>
        <w:b/>
        <w:i/>
        <w:color w:val="7393A2"/>
        <w:sz w:val="14"/>
        <w:szCs w:val="14"/>
      </w:rPr>
    </w:pPr>
  </w:p>
  <w:p w14:paraId="032FE86B" w14:textId="77777777" w:rsidR="005D6175" w:rsidRDefault="005D6175">
    <w:pPr>
      <w:pBdr>
        <w:top w:val="nil"/>
        <w:left w:val="nil"/>
        <w:bottom w:val="nil"/>
        <w:right w:val="nil"/>
        <w:between w:val="nil"/>
      </w:pBdr>
      <w:tabs>
        <w:tab w:val="center" w:pos="4819"/>
        <w:tab w:val="right" w:pos="9638"/>
        <w:tab w:val="right" w:pos="10206"/>
      </w:tabs>
      <w:spacing w:after="0" w:line="240" w:lineRule="auto"/>
      <w:rPr>
        <w:rFonts w:cs="Calibri"/>
        <w:b/>
        <w:i/>
        <w:color w:val="7393A2"/>
        <w:sz w:val="14"/>
        <w:szCs w:val="14"/>
      </w:rPr>
    </w:pPr>
  </w:p>
  <w:p w14:paraId="5FF3FDC0" w14:textId="77777777" w:rsidR="005D6175" w:rsidRDefault="00000000">
    <w:pPr>
      <w:pBdr>
        <w:top w:val="nil"/>
        <w:left w:val="nil"/>
        <w:bottom w:val="nil"/>
        <w:right w:val="nil"/>
        <w:between w:val="nil"/>
      </w:pBdr>
      <w:tabs>
        <w:tab w:val="center" w:pos="4819"/>
        <w:tab w:val="right" w:pos="9638"/>
        <w:tab w:val="right" w:pos="10206"/>
      </w:tabs>
      <w:spacing w:after="0" w:line="240" w:lineRule="auto"/>
      <w:rPr>
        <w:rFonts w:cs="Calibri"/>
        <w:color w:val="000000"/>
      </w:rPr>
    </w:pPr>
    <w:r>
      <w:rPr>
        <w:rFonts w:cs="Calibri"/>
        <w:b/>
        <w:i/>
        <w:color w:val="7393A2"/>
        <w:sz w:val="14"/>
        <w:szCs w:val="14"/>
      </w:rPr>
      <w:t xml:space="preserve">                                                                                                                                                                                                                                                                       Certificato ISO 9001 n° 230913/4146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423E" w14:textId="77777777" w:rsidR="005D6175" w:rsidRDefault="00000000">
    <w:pPr>
      <w:pBdr>
        <w:top w:val="nil"/>
        <w:left w:val="nil"/>
        <w:bottom w:val="nil"/>
        <w:right w:val="nil"/>
        <w:between w:val="nil"/>
      </w:pBdr>
      <w:tabs>
        <w:tab w:val="center" w:pos="4819"/>
        <w:tab w:val="right" w:pos="9638"/>
        <w:tab w:val="right" w:pos="10206"/>
      </w:tabs>
      <w:spacing w:after="0" w:line="240" w:lineRule="auto"/>
      <w:rPr>
        <w:b/>
        <w:i/>
        <w:color w:val="7393A2"/>
        <w:sz w:val="14"/>
        <w:szCs w:val="14"/>
      </w:rPr>
    </w:pPr>
    <w:r>
      <w:rPr>
        <w:noProof/>
      </w:rPr>
      <w:drawing>
        <wp:anchor distT="0" distB="0" distL="0" distR="0" simplePos="0" relativeHeight="251659264" behindDoc="1" locked="0" layoutInCell="1" hidden="0" allowOverlap="1" wp14:anchorId="17D9B122" wp14:editId="156D245F">
          <wp:simplePos x="0" y="0"/>
          <wp:positionH relativeFrom="column">
            <wp:posOffset>5126355</wp:posOffset>
          </wp:positionH>
          <wp:positionV relativeFrom="paragraph">
            <wp:posOffset>-219074</wp:posOffset>
          </wp:positionV>
          <wp:extent cx="803275" cy="404495"/>
          <wp:effectExtent l="0" t="0" r="0" b="0"/>
          <wp:wrapNone/>
          <wp:docPr id="17" name="image4.png" descr="Q-Cert Logo (Inspection - Certification)"/>
          <wp:cNvGraphicFramePr/>
          <a:graphic xmlns:a="http://schemas.openxmlformats.org/drawingml/2006/main">
            <a:graphicData uri="http://schemas.openxmlformats.org/drawingml/2006/picture">
              <pic:pic xmlns:pic="http://schemas.openxmlformats.org/drawingml/2006/picture">
                <pic:nvPicPr>
                  <pic:cNvPr id="0" name="image4.png" descr="Q-Cert Logo (Inspection - Certification)"/>
                  <pic:cNvPicPr preferRelativeResize="0"/>
                </pic:nvPicPr>
                <pic:blipFill>
                  <a:blip r:embed="rId1"/>
                  <a:srcRect/>
                  <a:stretch>
                    <a:fillRect/>
                  </a:stretch>
                </pic:blipFill>
                <pic:spPr>
                  <a:xfrm>
                    <a:off x="0" y="0"/>
                    <a:ext cx="803275" cy="404495"/>
                  </a:xfrm>
                  <a:prstGeom prst="rect">
                    <a:avLst/>
                  </a:prstGeom>
                  <a:ln/>
                </pic:spPr>
              </pic:pic>
            </a:graphicData>
          </a:graphic>
        </wp:anchor>
      </w:drawing>
    </w:r>
    <w:r>
      <w:rPr>
        <w:noProof/>
      </w:rPr>
      <w:drawing>
        <wp:anchor distT="0" distB="0" distL="0" distR="0" simplePos="0" relativeHeight="251660288" behindDoc="0" locked="0" layoutInCell="1" hidden="0" allowOverlap="1" wp14:anchorId="1718FAC6" wp14:editId="3459427D">
          <wp:simplePos x="0" y="0"/>
          <wp:positionH relativeFrom="column">
            <wp:posOffset>42544</wp:posOffset>
          </wp:positionH>
          <wp:positionV relativeFrom="paragraph">
            <wp:posOffset>-285749</wp:posOffset>
          </wp:positionV>
          <wp:extent cx="850900" cy="702310"/>
          <wp:effectExtent l="0" t="0" r="0" b="0"/>
          <wp:wrapSquare wrapText="bothSides" distT="0" distB="0" distL="0" distR="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850900" cy="702310"/>
                  </a:xfrm>
                  <a:prstGeom prst="rect">
                    <a:avLst/>
                  </a:prstGeom>
                  <a:ln/>
                </pic:spPr>
              </pic:pic>
            </a:graphicData>
          </a:graphic>
        </wp:anchor>
      </w:drawing>
    </w:r>
  </w:p>
  <w:p w14:paraId="72AE142B" w14:textId="77777777" w:rsidR="005D6175" w:rsidRDefault="005D6175">
    <w:pPr>
      <w:pBdr>
        <w:top w:val="nil"/>
        <w:left w:val="nil"/>
        <w:bottom w:val="nil"/>
        <w:right w:val="nil"/>
        <w:between w:val="nil"/>
      </w:pBdr>
      <w:tabs>
        <w:tab w:val="center" w:pos="4819"/>
        <w:tab w:val="right" w:pos="9638"/>
        <w:tab w:val="right" w:pos="10206"/>
      </w:tabs>
      <w:spacing w:after="0" w:line="240" w:lineRule="auto"/>
      <w:rPr>
        <w:b/>
        <w:i/>
        <w:color w:val="7393A2"/>
        <w:sz w:val="14"/>
        <w:szCs w:val="14"/>
      </w:rPr>
    </w:pPr>
  </w:p>
  <w:p w14:paraId="1B48B90C" w14:textId="77777777" w:rsidR="005D6175" w:rsidRDefault="00000000">
    <w:pPr>
      <w:pBdr>
        <w:top w:val="nil"/>
        <w:left w:val="nil"/>
        <w:bottom w:val="nil"/>
        <w:right w:val="nil"/>
        <w:between w:val="nil"/>
      </w:pBdr>
      <w:tabs>
        <w:tab w:val="center" w:pos="4819"/>
        <w:tab w:val="right" w:pos="9638"/>
        <w:tab w:val="right" w:pos="10206"/>
      </w:tabs>
      <w:spacing w:after="0" w:line="240" w:lineRule="auto"/>
      <w:rPr>
        <w:rFonts w:cs="Calibri"/>
        <w:color w:val="000000"/>
      </w:rPr>
    </w:pPr>
    <w:r>
      <w:rPr>
        <w:b/>
        <w:i/>
        <w:color w:val="7393A2"/>
        <w:sz w:val="14"/>
        <w:szCs w:val="14"/>
      </w:rPr>
      <w:tab/>
    </w:r>
    <w:r>
      <w:rPr>
        <w:b/>
        <w:i/>
        <w:color w:val="7393A2"/>
        <w:sz w:val="14"/>
        <w:szCs w:val="14"/>
      </w:rPr>
      <w:tab/>
      <w:t xml:space="preserve">                               </w:t>
    </w:r>
    <w:r>
      <w:rPr>
        <w:b/>
        <w:i/>
        <w:color w:val="7393A2"/>
        <w:sz w:val="14"/>
        <w:szCs w:val="14"/>
      </w:rPr>
      <w:tab/>
      <w:t xml:space="preserve"> </w:t>
    </w:r>
    <w:r>
      <w:rPr>
        <w:rFonts w:cs="Calibri"/>
        <w:b/>
        <w:i/>
        <w:color w:val="7393A2"/>
        <w:sz w:val="14"/>
        <w:szCs w:val="14"/>
      </w:rPr>
      <w:t xml:space="preserve"> Certificato ISO 9001 n° 230913/4146</w:t>
    </w:r>
    <w:r>
      <w:rPr>
        <w:noProof/>
      </w:rPr>
      <w:drawing>
        <wp:anchor distT="0" distB="0" distL="0" distR="0" simplePos="0" relativeHeight="251661312" behindDoc="1" locked="0" layoutInCell="1" hidden="0" allowOverlap="1" wp14:anchorId="5F5896F7" wp14:editId="64A46E99">
          <wp:simplePos x="0" y="0"/>
          <wp:positionH relativeFrom="column">
            <wp:posOffset>703425</wp:posOffset>
          </wp:positionH>
          <wp:positionV relativeFrom="paragraph">
            <wp:posOffset>202059</wp:posOffset>
          </wp:positionV>
          <wp:extent cx="5233988" cy="578587"/>
          <wp:effectExtent l="0" t="0" r="0" b="0"/>
          <wp:wrapNone/>
          <wp:docPr id="25" name="image7.jpg" descr="C:\Users\ADELES~1\AppData\Local\Temp\Rar$DRa44660.26922\Format GG 2017 alta definizione.jpg"/>
          <wp:cNvGraphicFramePr/>
          <a:graphic xmlns:a="http://schemas.openxmlformats.org/drawingml/2006/main">
            <a:graphicData uri="http://schemas.openxmlformats.org/drawingml/2006/picture">
              <pic:pic xmlns:pic="http://schemas.openxmlformats.org/drawingml/2006/picture">
                <pic:nvPicPr>
                  <pic:cNvPr id="0" name="image7.jpg" descr="C:\Users\ADELES~1\AppData\Local\Temp\Rar$DRa44660.26922\Format GG 2017 alta definizione.jpg"/>
                  <pic:cNvPicPr preferRelativeResize="0"/>
                </pic:nvPicPr>
                <pic:blipFill>
                  <a:blip r:embed="rId3"/>
                  <a:srcRect/>
                  <a:stretch>
                    <a:fillRect/>
                  </a:stretch>
                </pic:blipFill>
                <pic:spPr>
                  <a:xfrm>
                    <a:off x="0" y="0"/>
                    <a:ext cx="5233988" cy="57858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DCD"/>
    <w:multiLevelType w:val="multilevel"/>
    <w:tmpl w:val="F0546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B1726D"/>
    <w:multiLevelType w:val="multilevel"/>
    <w:tmpl w:val="19E85E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641AB3"/>
    <w:multiLevelType w:val="multilevel"/>
    <w:tmpl w:val="19843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4276B4"/>
    <w:multiLevelType w:val="multilevel"/>
    <w:tmpl w:val="7534A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EC1C07"/>
    <w:multiLevelType w:val="multilevel"/>
    <w:tmpl w:val="F580F7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9E24C37"/>
    <w:multiLevelType w:val="multilevel"/>
    <w:tmpl w:val="1C705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95678D"/>
    <w:multiLevelType w:val="multilevel"/>
    <w:tmpl w:val="C04E0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2B6344"/>
    <w:multiLevelType w:val="multilevel"/>
    <w:tmpl w:val="FA6A7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7736335">
    <w:abstractNumId w:val="1"/>
  </w:num>
  <w:num w:numId="2" w16cid:durableId="973025050">
    <w:abstractNumId w:val="7"/>
  </w:num>
  <w:num w:numId="3" w16cid:durableId="1460415653">
    <w:abstractNumId w:val="0"/>
  </w:num>
  <w:num w:numId="4" w16cid:durableId="336466218">
    <w:abstractNumId w:val="6"/>
  </w:num>
  <w:num w:numId="5" w16cid:durableId="697924555">
    <w:abstractNumId w:val="5"/>
  </w:num>
  <w:num w:numId="6" w16cid:durableId="309335430">
    <w:abstractNumId w:val="4"/>
  </w:num>
  <w:num w:numId="7" w16cid:durableId="337076154">
    <w:abstractNumId w:val="2"/>
  </w:num>
  <w:num w:numId="8" w16cid:durableId="2102137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175"/>
    <w:rsid w:val="002610CD"/>
    <w:rsid w:val="005D6175"/>
    <w:rsid w:val="00795A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7F1F"/>
  <w15:docId w15:val="{F4BEE358-CAC1-4C6A-9474-B3E67F1F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Times New Roman"/>
      <w:lang w:eastAsia="en-US"/>
    </w:rPr>
  </w:style>
  <w:style w:type="paragraph" w:styleId="Titolo1">
    <w:name w:val="heading 1"/>
    <w:basedOn w:val="Normale"/>
    <w:link w:val="Titolo1Carattere"/>
    <w:uiPriority w:val="9"/>
    <w:qFormat/>
    <w:rsid w:val="00B25703"/>
    <w:pPr>
      <w:spacing w:beforeAutospacing="1" w:afterAutospacing="1" w:line="240" w:lineRule="auto"/>
      <w:outlineLvl w:val="0"/>
    </w:pPr>
    <w:rPr>
      <w:rFonts w:ascii="Times New Roman" w:eastAsia="Times New Roman" w:hAnsi="Times New Roman"/>
      <w:b/>
      <w:bCs/>
      <w:kern w:val="2"/>
      <w:sz w:val="48"/>
      <w:szCs w:val="48"/>
      <w:lang w:eastAsia="it-IT"/>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cs="Lucida Sans"/>
      <w:sz w:val="28"/>
      <w:szCs w:val="28"/>
    </w:rPr>
  </w:style>
  <w:style w:type="character" w:customStyle="1" w:styleId="IntestazioneCarattere">
    <w:name w:val="Intestazione Carattere"/>
    <w:basedOn w:val="Carpredefinitoparagrafo"/>
    <w:link w:val="Intestazione"/>
    <w:uiPriority w:val="99"/>
    <w:qFormat/>
    <w:rsid w:val="00C96A5A"/>
  </w:style>
  <w:style w:type="character" w:customStyle="1" w:styleId="PidipaginaCarattere">
    <w:name w:val="Piè di pagina Carattere"/>
    <w:basedOn w:val="Carpredefinitoparagrafo"/>
    <w:link w:val="Pidipagina"/>
    <w:uiPriority w:val="99"/>
    <w:qFormat/>
    <w:rsid w:val="00C96A5A"/>
  </w:style>
  <w:style w:type="character" w:customStyle="1" w:styleId="CollegamentoInternet">
    <w:name w:val="Collegamento Internet"/>
    <w:uiPriority w:val="99"/>
    <w:unhideWhenUsed/>
    <w:rsid w:val="009E0B55"/>
    <w:rPr>
      <w:color w:val="0563C1"/>
      <w:u w:val="single"/>
    </w:rPr>
  </w:style>
  <w:style w:type="character" w:styleId="Menzionenonrisolta">
    <w:name w:val="Unresolved Mention"/>
    <w:uiPriority w:val="99"/>
    <w:semiHidden/>
    <w:unhideWhenUsed/>
    <w:qFormat/>
    <w:rsid w:val="009E0B55"/>
    <w:rPr>
      <w:color w:val="808080"/>
      <w:shd w:val="clear" w:color="auto" w:fill="E6E6E6"/>
    </w:rPr>
  </w:style>
  <w:style w:type="character" w:customStyle="1" w:styleId="TestofumettoCarattere">
    <w:name w:val="Testo fumetto Carattere"/>
    <w:link w:val="Testofumetto"/>
    <w:uiPriority w:val="99"/>
    <w:semiHidden/>
    <w:qFormat/>
    <w:rsid w:val="004F26BA"/>
    <w:rPr>
      <w:rFonts w:ascii="Segoe UI" w:hAnsi="Segoe UI" w:cs="Segoe UI"/>
      <w:sz w:val="18"/>
      <w:szCs w:val="18"/>
      <w:lang w:eastAsia="en-US"/>
    </w:rPr>
  </w:style>
  <w:style w:type="character" w:styleId="Enfasigrassetto">
    <w:name w:val="Strong"/>
    <w:basedOn w:val="Carpredefinitoparagrafo"/>
    <w:uiPriority w:val="22"/>
    <w:qFormat/>
    <w:rsid w:val="001E42A3"/>
    <w:rPr>
      <w:b/>
      <w:bCs/>
    </w:rPr>
  </w:style>
  <w:style w:type="character" w:customStyle="1" w:styleId="Titolo1Carattere">
    <w:name w:val="Titolo 1 Carattere"/>
    <w:basedOn w:val="Carpredefinitoparagrafo"/>
    <w:link w:val="Titolo1"/>
    <w:uiPriority w:val="9"/>
    <w:qFormat/>
    <w:rsid w:val="00B25703"/>
    <w:rPr>
      <w:rFonts w:ascii="Times New Roman" w:eastAsia="Times New Roman" w:hAnsi="Times New Roman"/>
      <w:b/>
      <w:bCs/>
      <w:kern w:val="2"/>
      <w:sz w:val="48"/>
      <w:szCs w:val="48"/>
    </w:rPr>
  </w:style>
  <w:style w:type="character" w:customStyle="1" w:styleId="no-icawes">
    <w:name w:val="no-icawes"/>
    <w:basedOn w:val="Carpredefinitoparagrafo"/>
    <w:qFormat/>
    <w:rsid w:val="00B25703"/>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C96A5A"/>
    <w:pPr>
      <w:tabs>
        <w:tab w:val="center" w:pos="4819"/>
        <w:tab w:val="right" w:pos="9638"/>
      </w:tabs>
      <w:spacing w:after="0" w:line="240" w:lineRule="auto"/>
    </w:pPr>
  </w:style>
  <w:style w:type="paragraph" w:styleId="Pidipagina">
    <w:name w:val="footer"/>
    <w:basedOn w:val="Normale"/>
    <w:link w:val="PidipaginaCarattere"/>
    <w:uiPriority w:val="99"/>
    <w:unhideWhenUsed/>
    <w:rsid w:val="00C96A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4F26BA"/>
    <w:pPr>
      <w:spacing w:after="0" w:line="240" w:lineRule="auto"/>
    </w:pPr>
    <w:rPr>
      <w:rFonts w:ascii="Segoe UI" w:hAnsi="Segoe UI" w:cs="Segoe UI"/>
      <w:sz w:val="18"/>
      <w:szCs w:val="18"/>
    </w:rPr>
  </w:style>
  <w:style w:type="paragraph" w:styleId="Paragrafoelenco">
    <w:name w:val="List Paragraph"/>
    <w:basedOn w:val="Normale"/>
    <w:uiPriority w:val="34"/>
    <w:qFormat/>
    <w:rsid w:val="00AD699F"/>
    <w:pPr>
      <w:ind w:left="720"/>
      <w:contextualSpacing/>
    </w:pPr>
    <w:rPr>
      <w:rFonts w:asciiTheme="minorHAnsi" w:eastAsiaTheme="minorHAnsi" w:hAnsiTheme="minorHAnsi" w:cstheme="minorBidi"/>
    </w:rPr>
  </w:style>
  <w:style w:type="paragraph" w:styleId="NormaleWeb">
    <w:name w:val="Normal (Web)"/>
    <w:basedOn w:val="Normale"/>
    <w:uiPriority w:val="99"/>
    <w:unhideWhenUsed/>
    <w:qFormat/>
    <w:rsid w:val="001E42A3"/>
    <w:pPr>
      <w:spacing w:beforeAutospacing="1" w:afterAutospacing="1" w:line="240" w:lineRule="auto"/>
    </w:pPr>
    <w:rPr>
      <w:rFonts w:ascii="Times New Roman" w:eastAsia="Times New Roman" w:hAnsi="Times New Roman"/>
      <w:sz w:val="24"/>
      <w:szCs w:val="24"/>
      <w:lang w:eastAsia="it-IT"/>
    </w:rPr>
  </w:style>
  <w:style w:type="paragraph" w:customStyle="1" w:styleId="Contenutocornice">
    <w:name w:val="Contenuto cornice"/>
    <w:basedOn w:val="Normale"/>
    <w:qFormat/>
  </w:style>
  <w:style w:type="table" w:styleId="Grigliatabella">
    <w:name w:val="Table Grid"/>
    <w:basedOn w:val="Tabellanormale"/>
    <w:uiPriority w:val="39"/>
    <w:rsid w:val="006B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anpal.anpal.gov.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GARANZIA%20GIOVANI/LOMBARDIA/ALLEGATO+A+-+avviso.pdf" TargetMode="External"/><Relationship Id="rId2" Type="http://schemas.openxmlformats.org/officeDocument/2006/relationships/numbering" Target="numbering.xml"/><Relationship Id="rId16" Type="http://schemas.openxmlformats.org/officeDocument/2006/relationships/hyperlink" Target="https://www.garanziagiovani.regione.lombardia.it/wps/portal/site/garanziagiovan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oteunicalavoro.regione.lombardia.it/oa/"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aranziagiovani.regione.lombardia.it/wps/portal/site/garanziagiovani/come-aderire/!ut/p/z1/04_Sj9CPykssy0xPLMnMz0vMAfIjo8zi_R1NzTyMTAy9LJwd3QwCDcw9zP1c_dzdPEz0w8EKLC1cPQ0MDYy8LFyAChyDggNczQydjcxCDPSjiNFvgAM4Eqkfj4Io_MaH60ehWuHv6mVu4BhmaWHo6Rxo5OFnDFWAz4uELCnIDQ2NMMj0BAC-I1bP/comunicazione%20da%20parte%20del%20Sistema%20Informativo%20Unitario%20del%20Lavoro%20di%20Regione%20Lombardia%20(SIU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empimodernilavoro.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hyperlink" Target="mailto:info@tempimodernilavoro.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50.pn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pyjSU5shL3OwA9Ge/ws2WtJsw==">AMUW2mXo6y2iWtL1aE3tiaWukUEGCHQKQuTJzfM99/35kdg+2gLeU8EwlZ27a5ndFmp/GzER/np9Egj09J7yQ1a17S0rdJveXIGDLJiQArXUp1R2ZEavHSI=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2070</Words>
  <Characters>11802</Characters>
  <Application>Microsoft Office Word</Application>
  <DocSecurity>0</DocSecurity>
  <Lines>98</Lines>
  <Paragraphs>27</Paragraphs>
  <ScaleCrop>false</ScaleCrop>
  <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Cristiana Fevola</cp:lastModifiedBy>
  <cp:revision>2</cp:revision>
  <dcterms:created xsi:type="dcterms:W3CDTF">2022-09-16T15:51:00Z</dcterms:created>
  <dcterms:modified xsi:type="dcterms:W3CDTF">2022-09-16T15:51:00Z</dcterms:modified>
</cp:coreProperties>
</file>